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57" w:rsidRPr="005C3857" w:rsidRDefault="005C3857" w:rsidP="005C3857">
      <w:pPr>
        <w:spacing w:after="0"/>
        <w:ind w:left="1134" w:right="1416"/>
        <w:jc w:val="center"/>
        <w:rPr>
          <w:rFonts w:ascii="Times New Roman" w:hAnsi="Times New Roman" w:cs="Times New Roman"/>
          <w:b/>
        </w:rPr>
      </w:pPr>
    </w:p>
    <w:p w:rsidR="005C3857" w:rsidRDefault="005C3857" w:rsidP="006138F9">
      <w:pPr>
        <w:spacing w:after="0"/>
        <w:ind w:left="1134" w:right="1416"/>
        <w:rPr>
          <w:rFonts w:ascii="Verdana" w:hAnsi="Verdana"/>
          <w:b/>
        </w:rPr>
      </w:pPr>
    </w:p>
    <w:p w:rsidR="005C3857" w:rsidRDefault="00EA2774" w:rsidP="00294274">
      <w:pPr>
        <w:spacing w:after="0"/>
        <w:ind w:left="1134" w:right="1416"/>
        <w:jc w:val="center"/>
        <w:rPr>
          <w:rFonts w:ascii="Verdana" w:hAnsi="Verdana"/>
          <w:b/>
        </w:rPr>
      </w:pPr>
      <w:r>
        <w:rPr>
          <w:noProof/>
          <w:lang w:eastAsia="en-GB"/>
        </w:rPr>
        <w:drawing>
          <wp:inline distT="0" distB="0" distL="0" distR="0">
            <wp:extent cx="4928668" cy="5605153"/>
            <wp:effectExtent l="0" t="0" r="5715" b="0"/>
            <wp:docPr id="1" name="Picture 1" descr="http://www168.lunapic.com/editor/working/150281014464277?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68.lunapic.com/editor/working/150281014464277?7173"/>
                    <pic:cNvPicPr>
                      <a:picLocks noChangeAspect="1" noChangeArrowheads="1"/>
                    </pic:cNvPicPr>
                  </pic:nvPicPr>
                  <pic:blipFill rotWithShape="1">
                    <a:blip r:embed="rId8">
                      <a:extLst>
                        <a:ext uri="{28A0092B-C50C-407E-A947-70E740481C1C}">
                          <a14:useLocalDpi xmlns:a14="http://schemas.microsoft.com/office/drawing/2010/main" val="0"/>
                        </a:ext>
                      </a:extLst>
                    </a:blip>
                    <a:srcRect l="8626" r="8893"/>
                    <a:stretch/>
                  </pic:blipFill>
                  <pic:spPr bwMode="auto">
                    <a:xfrm>
                      <a:off x="0" y="0"/>
                      <a:ext cx="4928629" cy="5605109"/>
                    </a:xfrm>
                    <a:prstGeom prst="rect">
                      <a:avLst/>
                    </a:prstGeom>
                    <a:noFill/>
                    <a:ln>
                      <a:noFill/>
                    </a:ln>
                    <a:extLst>
                      <a:ext uri="{53640926-AAD7-44D8-BBD7-CCE9431645EC}">
                        <a14:shadowObscured xmlns:a14="http://schemas.microsoft.com/office/drawing/2010/main"/>
                      </a:ext>
                    </a:extLst>
                  </pic:spPr>
                </pic:pic>
              </a:graphicData>
            </a:graphic>
          </wp:inline>
        </w:drawing>
      </w:r>
    </w:p>
    <w:p w:rsidR="00EA2774" w:rsidRDefault="00EA2774" w:rsidP="00294274">
      <w:pPr>
        <w:spacing w:after="0"/>
        <w:ind w:left="1134" w:right="1416"/>
        <w:jc w:val="center"/>
        <w:rPr>
          <w:rFonts w:ascii="Verdana" w:hAnsi="Verdana"/>
          <w:b/>
        </w:rPr>
      </w:pPr>
    </w:p>
    <w:p w:rsidR="000C47AF" w:rsidRDefault="000C47AF" w:rsidP="00294274">
      <w:pPr>
        <w:spacing w:after="0"/>
        <w:ind w:left="1134" w:right="1416"/>
        <w:jc w:val="center"/>
        <w:rPr>
          <w:rFonts w:ascii="Verdana" w:hAnsi="Verdana"/>
          <w:b/>
        </w:rPr>
      </w:pPr>
    </w:p>
    <w:p w:rsidR="00CB1931" w:rsidRDefault="00B95606" w:rsidP="00294274">
      <w:pPr>
        <w:spacing w:after="0"/>
        <w:ind w:left="1134" w:right="1416"/>
        <w:jc w:val="center"/>
        <w:rPr>
          <w:rFonts w:ascii="Verdana" w:hAnsi="Verdana"/>
          <w:b/>
        </w:rPr>
      </w:pPr>
      <w:r w:rsidRPr="00B95606">
        <w:rPr>
          <w:rFonts w:ascii="Verdana" w:hAnsi="Verdana"/>
          <w:b/>
        </w:rPr>
        <w:t xml:space="preserve">PRELIMINARY REPORT </w:t>
      </w:r>
      <w:r>
        <w:rPr>
          <w:rFonts w:ascii="Verdana" w:hAnsi="Verdana"/>
          <w:b/>
        </w:rPr>
        <w:t xml:space="preserve">FOLLOWING </w:t>
      </w:r>
      <w:r w:rsidRPr="00B95606">
        <w:rPr>
          <w:rFonts w:ascii="Verdana" w:hAnsi="Verdana"/>
          <w:b/>
        </w:rPr>
        <w:t>EVALUAT</w:t>
      </w:r>
      <w:r>
        <w:rPr>
          <w:rFonts w:ascii="Verdana" w:hAnsi="Verdana"/>
          <w:b/>
        </w:rPr>
        <w:t>ION OF</w:t>
      </w:r>
      <w:r w:rsidRPr="00B95606">
        <w:rPr>
          <w:rFonts w:ascii="Verdana" w:hAnsi="Verdana"/>
          <w:b/>
        </w:rPr>
        <w:t xml:space="preserve"> H</w:t>
      </w:r>
      <w:r>
        <w:rPr>
          <w:rFonts w:ascii="Verdana" w:hAnsi="Verdana"/>
          <w:b/>
        </w:rPr>
        <w:t xml:space="preserve">ARROGATE </w:t>
      </w:r>
      <w:r w:rsidRPr="00B95606">
        <w:rPr>
          <w:rFonts w:ascii="Verdana" w:hAnsi="Verdana"/>
          <w:b/>
        </w:rPr>
        <w:t xml:space="preserve">BC SITE ALLOCATIONS </w:t>
      </w:r>
      <w:r w:rsidR="003B148E">
        <w:rPr>
          <w:rFonts w:ascii="Verdana" w:hAnsi="Verdana"/>
          <w:b/>
        </w:rPr>
        <w:t>(</w:t>
      </w:r>
      <w:r>
        <w:rPr>
          <w:rFonts w:ascii="Verdana" w:hAnsi="Verdana"/>
          <w:b/>
        </w:rPr>
        <w:t>PN17, 18, 19 &amp; 20</w:t>
      </w:r>
      <w:r w:rsidR="003B148E">
        <w:rPr>
          <w:rFonts w:ascii="Verdana" w:hAnsi="Verdana"/>
          <w:b/>
        </w:rPr>
        <w:t>)</w:t>
      </w:r>
      <w:r>
        <w:rPr>
          <w:rFonts w:ascii="Verdana" w:hAnsi="Verdana"/>
          <w:b/>
        </w:rPr>
        <w:t xml:space="preserve"> </w:t>
      </w:r>
      <w:r w:rsidRPr="00B95606">
        <w:rPr>
          <w:rFonts w:ascii="Verdana" w:hAnsi="Verdana"/>
          <w:b/>
        </w:rPr>
        <w:t>AND SUPPORTING EVIDENCE</w:t>
      </w:r>
    </w:p>
    <w:p w:rsidR="00CB1931" w:rsidRDefault="00CB1931" w:rsidP="00294274">
      <w:pPr>
        <w:spacing w:after="0"/>
        <w:ind w:left="1134" w:right="1416"/>
        <w:jc w:val="center"/>
        <w:rPr>
          <w:rFonts w:ascii="Verdana" w:hAnsi="Verdana"/>
          <w:b/>
        </w:rPr>
      </w:pPr>
      <w:r>
        <w:rPr>
          <w:rFonts w:ascii="Verdana" w:hAnsi="Verdana"/>
          <w:b/>
        </w:rPr>
        <w:t>CONTAINING</w:t>
      </w:r>
    </w:p>
    <w:p w:rsidR="000C47AF" w:rsidRDefault="00B95606" w:rsidP="00294274">
      <w:pPr>
        <w:spacing w:after="0"/>
        <w:ind w:left="1134" w:right="1416"/>
        <w:jc w:val="center"/>
        <w:rPr>
          <w:rFonts w:ascii="Verdana" w:hAnsi="Verdana"/>
          <w:b/>
        </w:rPr>
      </w:pPr>
      <w:r>
        <w:rPr>
          <w:rFonts w:ascii="Verdana" w:hAnsi="Verdana"/>
          <w:b/>
        </w:rPr>
        <w:t xml:space="preserve"> </w:t>
      </w:r>
      <w:r w:rsidR="00CB1931" w:rsidRPr="00CB1931">
        <w:rPr>
          <w:rFonts w:ascii="Verdana" w:hAnsi="Verdana"/>
          <w:b/>
        </w:rPr>
        <w:t>ADVISED APPROACH TO CONSULTATION RESPONSE</w:t>
      </w:r>
    </w:p>
    <w:p w:rsidR="000C47AF" w:rsidRDefault="000C47AF" w:rsidP="00294274">
      <w:pPr>
        <w:spacing w:after="0"/>
        <w:ind w:left="1134" w:right="1416"/>
        <w:jc w:val="center"/>
        <w:rPr>
          <w:rFonts w:ascii="Verdana" w:hAnsi="Verdana"/>
          <w:b/>
        </w:rPr>
      </w:pPr>
    </w:p>
    <w:p w:rsidR="000C47AF" w:rsidRDefault="000C47AF" w:rsidP="00294274">
      <w:pPr>
        <w:spacing w:after="0"/>
        <w:ind w:left="1134" w:right="1416"/>
        <w:jc w:val="center"/>
        <w:rPr>
          <w:rFonts w:ascii="Verdana" w:hAnsi="Verdana"/>
          <w:b/>
        </w:rPr>
      </w:pPr>
      <w:r>
        <w:rPr>
          <w:rFonts w:ascii="Verdana" w:hAnsi="Verdana"/>
          <w:b/>
        </w:rPr>
        <w:t>FOR PANNAL AND BURN BRIDGE PARISH COUNCIL</w:t>
      </w:r>
    </w:p>
    <w:p w:rsidR="000C47AF" w:rsidRDefault="000C47AF" w:rsidP="00294274">
      <w:pPr>
        <w:spacing w:after="0"/>
        <w:ind w:left="1134" w:right="1416"/>
        <w:jc w:val="center"/>
        <w:rPr>
          <w:rFonts w:ascii="Verdana" w:hAnsi="Verdana"/>
          <w:b/>
        </w:rPr>
      </w:pPr>
    </w:p>
    <w:p w:rsidR="000C47AF" w:rsidRDefault="000C47AF" w:rsidP="00294274">
      <w:pPr>
        <w:spacing w:after="0"/>
        <w:ind w:left="1134" w:right="1416"/>
        <w:jc w:val="center"/>
        <w:rPr>
          <w:rFonts w:ascii="Verdana" w:hAnsi="Verdana"/>
          <w:b/>
        </w:rPr>
      </w:pPr>
      <w:r>
        <w:rPr>
          <w:rFonts w:ascii="Verdana" w:hAnsi="Verdana"/>
          <w:b/>
        </w:rPr>
        <w:t xml:space="preserve">IN RELATION TO </w:t>
      </w:r>
      <w:r w:rsidR="00B95606" w:rsidRPr="00B95606">
        <w:rPr>
          <w:rFonts w:ascii="Verdana" w:hAnsi="Verdana"/>
          <w:b/>
        </w:rPr>
        <w:t>CONSULTATION ON THE HARROGATE DISTRICT LOCAL PLAN PUBLICATION DRAFT</w:t>
      </w:r>
      <w:r w:rsidR="00B95606">
        <w:rPr>
          <w:rFonts w:ascii="Verdana" w:hAnsi="Verdana"/>
          <w:b/>
        </w:rPr>
        <w:t xml:space="preserve"> 2018</w:t>
      </w:r>
    </w:p>
    <w:p w:rsidR="00294274" w:rsidRDefault="00294274" w:rsidP="00294274">
      <w:pPr>
        <w:spacing w:after="0"/>
        <w:ind w:left="1134" w:right="1416"/>
        <w:jc w:val="center"/>
        <w:rPr>
          <w:rFonts w:ascii="Verdana" w:hAnsi="Verdana"/>
          <w:b/>
        </w:rPr>
      </w:pPr>
    </w:p>
    <w:p w:rsidR="0003065B" w:rsidRDefault="0003065B" w:rsidP="001064F2">
      <w:pPr>
        <w:ind w:left="1170" w:right="1466"/>
        <w:rPr>
          <w:rFonts w:ascii="Verdana" w:hAnsi="Verdana"/>
          <w:b/>
        </w:rPr>
      </w:pPr>
    </w:p>
    <w:p w:rsidR="007C65EA" w:rsidRDefault="007C65EA" w:rsidP="007C65EA">
      <w:pPr>
        <w:spacing w:after="0"/>
        <w:ind w:left="1170" w:right="1376"/>
        <w:rPr>
          <w:rFonts w:ascii="Verdana" w:hAnsi="Verdana"/>
          <w:b/>
        </w:rPr>
      </w:pPr>
      <w:r>
        <w:rPr>
          <w:rFonts w:ascii="Verdana" w:hAnsi="Verdana"/>
          <w:b/>
        </w:rPr>
        <w:t>Introduction</w:t>
      </w:r>
    </w:p>
    <w:p w:rsidR="007C65EA" w:rsidRDefault="007C65EA" w:rsidP="007C65EA">
      <w:pPr>
        <w:spacing w:after="0"/>
        <w:ind w:left="1170" w:right="1376"/>
        <w:rPr>
          <w:rFonts w:ascii="Verdana" w:hAnsi="Verdana"/>
          <w:b/>
        </w:rPr>
      </w:pPr>
    </w:p>
    <w:p w:rsidR="00B95606" w:rsidRPr="00B95606" w:rsidRDefault="00B95606" w:rsidP="007C65EA">
      <w:pPr>
        <w:spacing w:after="0"/>
        <w:ind w:left="1170" w:right="1376"/>
        <w:rPr>
          <w:rFonts w:ascii="Verdana" w:hAnsi="Verdana"/>
        </w:rPr>
      </w:pPr>
      <w:r w:rsidRPr="00B95606">
        <w:rPr>
          <w:rFonts w:ascii="Verdana" w:hAnsi="Verdana"/>
        </w:rPr>
        <w:t xml:space="preserve">To avoid confusion we refer to Harrogate </w:t>
      </w:r>
      <w:r w:rsidR="003B148E">
        <w:rPr>
          <w:rFonts w:ascii="Verdana" w:hAnsi="Verdana"/>
        </w:rPr>
        <w:t>Borough</w:t>
      </w:r>
      <w:r w:rsidR="0031599F">
        <w:rPr>
          <w:rFonts w:ascii="Verdana" w:hAnsi="Verdana"/>
        </w:rPr>
        <w:t xml:space="preserve"> Council as the ‘Council’ </w:t>
      </w:r>
      <w:r w:rsidRPr="00B95606">
        <w:rPr>
          <w:rFonts w:ascii="Verdana" w:hAnsi="Verdana"/>
        </w:rPr>
        <w:t>and the Parish Council as the ‘PC’.</w:t>
      </w:r>
    </w:p>
    <w:p w:rsidR="007C65EA" w:rsidRDefault="007C65EA" w:rsidP="007C65EA">
      <w:pPr>
        <w:spacing w:after="0"/>
        <w:ind w:left="1170" w:right="1376"/>
        <w:rPr>
          <w:rFonts w:ascii="Verdana" w:hAnsi="Verdana"/>
        </w:rPr>
      </w:pPr>
    </w:p>
    <w:p w:rsidR="0031599F" w:rsidRDefault="00B95606" w:rsidP="007C65EA">
      <w:pPr>
        <w:spacing w:after="0"/>
        <w:ind w:left="1170" w:right="1376"/>
        <w:rPr>
          <w:rFonts w:ascii="Verdana" w:hAnsi="Verdana"/>
        </w:rPr>
      </w:pPr>
      <w:r w:rsidRPr="00B95606">
        <w:rPr>
          <w:rFonts w:ascii="Verdana" w:hAnsi="Verdana"/>
        </w:rPr>
        <w:t>The PC, advised by this practice, responded to the Draft Local Plan (Additional Sites) Consultation in August 2017.  The Council have not changed the plan in response to the PC’s representations.  In fact the main parts of their responses to the representations in respect to each of the housing and employment sites are identical and formulaic.</w:t>
      </w:r>
      <w:r w:rsidR="001332B1">
        <w:rPr>
          <w:rFonts w:ascii="Verdana" w:hAnsi="Verdana"/>
        </w:rPr>
        <w:t xml:space="preserve"> </w:t>
      </w:r>
    </w:p>
    <w:p w:rsidR="0031599F" w:rsidRDefault="0031599F" w:rsidP="007C65EA">
      <w:pPr>
        <w:spacing w:after="0"/>
        <w:ind w:left="1170" w:right="1376"/>
        <w:rPr>
          <w:rFonts w:ascii="Verdana" w:hAnsi="Verdana"/>
        </w:rPr>
      </w:pPr>
    </w:p>
    <w:p w:rsidR="0031599F" w:rsidRPr="0031599F" w:rsidRDefault="0031599F" w:rsidP="0031599F">
      <w:pPr>
        <w:spacing w:after="0"/>
        <w:ind w:left="1170" w:right="1376"/>
        <w:rPr>
          <w:rFonts w:ascii="Verdana" w:hAnsi="Verdana"/>
        </w:rPr>
      </w:pPr>
      <w:r w:rsidRPr="0031599F">
        <w:rPr>
          <w:rFonts w:ascii="Verdana" w:hAnsi="Verdana"/>
        </w:rPr>
        <w:t>In summary their responses are:</w:t>
      </w:r>
    </w:p>
    <w:p w:rsidR="0031599F" w:rsidRPr="0031599F" w:rsidRDefault="0031599F" w:rsidP="0031599F">
      <w:pPr>
        <w:spacing w:after="0"/>
        <w:ind w:left="1170" w:right="1376"/>
        <w:rPr>
          <w:rFonts w:ascii="Verdana" w:hAnsi="Verdana"/>
        </w:rPr>
      </w:pPr>
    </w:p>
    <w:p w:rsidR="0031599F" w:rsidRPr="0031599F" w:rsidRDefault="0031599F" w:rsidP="0031599F">
      <w:pPr>
        <w:pStyle w:val="ListParagraph"/>
        <w:numPr>
          <w:ilvl w:val="0"/>
          <w:numId w:val="11"/>
        </w:numPr>
        <w:spacing w:after="0"/>
        <w:ind w:right="1376"/>
        <w:rPr>
          <w:rFonts w:ascii="Verdana" w:hAnsi="Verdana"/>
        </w:rPr>
      </w:pPr>
      <w:r w:rsidRPr="0031599F">
        <w:rPr>
          <w:rFonts w:ascii="Verdana" w:hAnsi="Verdana"/>
        </w:rPr>
        <w:t>That no new matters have been raised</w:t>
      </w:r>
    </w:p>
    <w:p w:rsidR="0031599F" w:rsidRPr="0031599F" w:rsidRDefault="0031599F" w:rsidP="0031599F">
      <w:pPr>
        <w:spacing w:after="0"/>
        <w:ind w:left="1170" w:right="1376"/>
        <w:rPr>
          <w:rFonts w:ascii="Verdana" w:hAnsi="Verdana"/>
        </w:rPr>
      </w:pPr>
    </w:p>
    <w:p w:rsidR="0031599F" w:rsidRPr="0031599F" w:rsidRDefault="0031599F" w:rsidP="0031599F">
      <w:pPr>
        <w:pStyle w:val="ListParagraph"/>
        <w:numPr>
          <w:ilvl w:val="0"/>
          <w:numId w:val="11"/>
        </w:numPr>
        <w:spacing w:after="0"/>
        <w:ind w:right="1376"/>
        <w:rPr>
          <w:rFonts w:ascii="Verdana" w:hAnsi="Verdana"/>
        </w:rPr>
      </w:pPr>
      <w:r w:rsidRPr="0031599F">
        <w:rPr>
          <w:rFonts w:ascii="Verdana" w:hAnsi="Verdana"/>
        </w:rPr>
        <w:t>An acknowledgement that new infrastructure will be required, but will be provided</w:t>
      </w:r>
    </w:p>
    <w:p w:rsidR="0031599F" w:rsidRPr="0031599F" w:rsidRDefault="0031599F" w:rsidP="0031599F">
      <w:pPr>
        <w:spacing w:after="0"/>
        <w:ind w:left="1170" w:right="1376"/>
        <w:rPr>
          <w:rFonts w:ascii="Verdana" w:hAnsi="Verdana"/>
        </w:rPr>
      </w:pPr>
    </w:p>
    <w:p w:rsidR="0031599F" w:rsidRPr="0031599F" w:rsidRDefault="0031599F" w:rsidP="0031599F">
      <w:pPr>
        <w:spacing w:after="0"/>
        <w:ind w:left="1620" w:right="1376" w:firstLine="270"/>
        <w:rPr>
          <w:rFonts w:ascii="Verdana" w:hAnsi="Verdana"/>
        </w:rPr>
      </w:pPr>
      <w:proofErr w:type="gramStart"/>
      <w:r w:rsidRPr="0031599F">
        <w:rPr>
          <w:rFonts w:ascii="Verdana" w:hAnsi="Verdana"/>
        </w:rPr>
        <w:t>and</w:t>
      </w:r>
      <w:proofErr w:type="gramEnd"/>
      <w:r w:rsidRPr="0031599F">
        <w:rPr>
          <w:rFonts w:ascii="Verdana" w:hAnsi="Verdana"/>
        </w:rPr>
        <w:t xml:space="preserve"> </w:t>
      </w:r>
    </w:p>
    <w:p w:rsidR="0031599F" w:rsidRPr="0031599F" w:rsidRDefault="0031599F" w:rsidP="0031599F">
      <w:pPr>
        <w:spacing w:after="0"/>
        <w:ind w:left="1170" w:right="1376"/>
        <w:rPr>
          <w:rFonts w:ascii="Verdana" w:hAnsi="Verdana"/>
        </w:rPr>
      </w:pPr>
    </w:p>
    <w:p w:rsidR="0031599F" w:rsidRPr="0031599F" w:rsidRDefault="0031599F" w:rsidP="0031599F">
      <w:pPr>
        <w:pStyle w:val="ListParagraph"/>
        <w:numPr>
          <w:ilvl w:val="0"/>
          <w:numId w:val="12"/>
        </w:numPr>
        <w:spacing w:after="0"/>
        <w:ind w:right="1376"/>
        <w:rPr>
          <w:rFonts w:ascii="Verdana" w:hAnsi="Verdana"/>
        </w:rPr>
      </w:pPr>
      <w:r w:rsidRPr="0031599F">
        <w:rPr>
          <w:rFonts w:ascii="Verdana" w:hAnsi="Verdana"/>
        </w:rPr>
        <w:t>That detailed guidelines will be prov</w:t>
      </w:r>
      <w:r>
        <w:rPr>
          <w:rFonts w:ascii="Verdana" w:hAnsi="Verdana"/>
        </w:rPr>
        <w:t>ided for the sites’ development</w:t>
      </w:r>
      <w:r w:rsidRPr="0031599F">
        <w:rPr>
          <w:rFonts w:ascii="Verdana" w:hAnsi="Verdana"/>
        </w:rPr>
        <w:t xml:space="preserve">  </w:t>
      </w:r>
      <w:r w:rsidR="001332B1" w:rsidRPr="0031599F">
        <w:rPr>
          <w:rFonts w:ascii="Verdana" w:hAnsi="Verdana"/>
        </w:rPr>
        <w:t xml:space="preserve"> </w:t>
      </w:r>
    </w:p>
    <w:p w:rsidR="0031599F" w:rsidRDefault="0031599F" w:rsidP="007C65EA">
      <w:pPr>
        <w:spacing w:after="0"/>
        <w:ind w:left="1170" w:right="1376"/>
        <w:rPr>
          <w:rFonts w:ascii="Verdana" w:hAnsi="Verdana"/>
        </w:rPr>
      </w:pPr>
    </w:p>
    <w:p w:rsidR="00B95606" w:rsidRPr="00B95606" w:rsidRDefault="00B95606" w:rsidP="007C65EA">
      <w:pPr>
        <w:spacing w:after="0"/>
        <w:ind w:left="1170" w:right="1376"/>
        <w:rPr>
          <w:rFonts w:ascii="Verdana" w:hAnsi="Verdana"/>
        </w:rPr>
      </w:pPr>
      <w:r w:rsidRPr="00B95606">
        <w:rPr>
          <w:rFonts w:ascii="Verdana" w:hAnsi="Verdana"/>
        </w:rPr>
        <w:t>The response in relation to school extension site PN20 is similar, but includes reference to information in their Infrastructure Delivery Plan.  The January 2018 Update to that Plan recognises the scale of development planned in the Publication Draft Plan by proposing 8 new classrooms and acknowledging that the calculated need for these classrooms take account of the development of sites PN17 and PN1</w:t>
      </w:r>
      <w:r>
        <w:rPr>
          <w:rFonts w:ascii="Verdana" w:hAnsi="Verdana"/>
        </w:rPr>
        <w:t>9</w:t>
      </w:r>
      <w:r w:rsidRPr="00B95606">
        <w:rPr>
          <w:rFonts w:ascii="Verdana" w:hAnsi="Verdana"/>
        </w:rPr>
        <w:t>.  The extension is programmed for the medium term – i.e. 2019-2024.</w:t>
      </w:r>
    </w:p>
    <w:p w:rsidR="007C65EA" w:rsidRDefault="007C65EA" w:rsidP="007C65EA">
      <w:pPr>
        <w:spacing w:after="0"/>
        <w:ind w:left="1170" w:right="1376"/>
        <w:rPr>
          <w:rFonts w:ascii="Verdana" w:hAnsi="Verdana"/>
        </w:rPr>
      </w:pPr>
    </w:p>
    <w:p w:rsidR="00B95606" w:rsidRPr="00B95606" w:rsidRDefault="00B95606" w:rsidP="007C65EA">
      <w:pPr>
        <w:spacing w:after="0"/>
        <w:ind w:left="1170" w:right="1376"/>
        <w:rPr>
          <w:rFonts w:ascii="Verdana" w:hAnsi="Verdana"/>
        </w:rPr>
      </w:pPr>
      <w:r w:rsidRPr="00B95606">
        <w:rPr>
          <w:rFonts w:ascii="Verdana" w:hAnsi="Verdana"/>
        </w:rPr>
        <w:t>As a general observation we consider that the Council have not seriously considered the PC’s consultation response.  This is not</w:t>
      </w:r>
      <w:r>
        <w:rPr>
          <w:rFonts w:ascii="Verdana" w:hAnsi="Verdana"/>
        </w:rPr>
        <w:t xml:space="preserve"> unusual</w:t>
      </w:r>
      <w:r w:rsidRPr="00B95606">
        <w:rPr>
          <w:rFonts w:ascii="Verdana" w:hAnsi="Verdana"/>
        </w:rPr>
        <w:t xml:space="preserve"> given the limited numbers of staff and the scale of the response over the District as a whole.  At this stage the Council could still recommend late changes to the Inspector but this is unlikely in the case of major proposal</w:t>
      </w:r>
      <w:r w:rsidR="007C65EA">
        <w:rPr>
          <w:rFonts w:ascii="Verdana" w:hAnsi="Verdana"/>
        </w:rPr>
        <w:t>s</w:t>
      </w:r>
      <w:r w:rsidRPr="00B95606">
        <w:rPr>
          <w:rFonts w:ascii="Verdana" w:hAnsi="Verdana"/>
        </w:rPr>
        <w:t xml:space="preserve"> like those under consideration.  Effectively the PC’s representation </w:t>
      </w:r>
      <w:r w:rsidR="003B148E">
        <w:rPr>
          <w:rFonts w:ascii="Verdana" w:hAnsi="Verdana"/>
        </w:rPr>
        <w:t>is likely to</w:t>
      </w:r>
      <w:r w:rsidRPr="00B95606">
        <w:rPr>
          <w:rFonts w:ascii="Verdana" w:hAnsi="Verdana"/>
        </w:rPr>
        <w:t xml:space="preserve"> be considered by the Local Plan Inspector.</w:t>
      </w:r>
    </w:p>
    <w:p w:rsidR="007C65EA" w:rsidRDefault="007C65EA" w:rsidP="007C65EA">
      <w:pPr>
        <w:spacing w:after="0"/>
        <w:ind w:left="1170" w:right="1376"/>
        <w:rPr>
          <w:rFonts w:ascii="Verdana" w:hAnsi="Verdana"/>
        </w:rPr>
      </w:pPr>
    </w:p>
    <w:p w:rsidR="00B95606" w:rsidRPr="00B95606" w:rsidRDefault="00B95606" w:rsidP="007C65EA">
      <w:pPr>
        <w:spacing w:after="0"/>
        <w:ind w:left="1170" w:right="1376"/>
        <w:rPr>
          <w:rFonts w:ascii="Verdana" w:hAnsi="Verdana"/>
        </w:rPr>
      </w:pPr>
      <w:r w:rsidRPr="00B95606">
        <w:rPr>
          <w:rFonts w:ascii="Verdana" w:hAnsi="Verdana"/>
        </w:rPr>
        <w:t xml:space="preserve">It is important to recognise that the </w:t>
      </w:r>
      <w:r w:rsidRPr="00774191">
        <w:rPr>
          <w:rFonts w:ascii="Verdana" w:hAnsi="Verdana"/>
        </w:rPr>
        <w:t xml:space="preserve">Inspector’s main duty </w:t>
      </w:r>
      <w:r w:rsidRPr="00B95606">
        <w:rPr>
          <w:rFonts w:ascii="Verdana" w:hAnsi="Verdana"/>
        </w:rPr>
        <w:t xml:space="preserve">in a Local Plan Examination is to decide whether a plan is sound.  In practical terms this means that </w:t>
      </w:r>
      <w:r w:rsidR="003B148E">
        <w:rPr>
          <w:rFonts w:ascii="Verdana" w:hAnsi="Verdana"/>
        </w:rPr>
        <w:t>t</w:t>
      </w:r>
      <w:r w:rsidRPr="00B95606">
        <w:rPr>
          <w:rFonts w:ascii="Verdana" w:hAnsi="Verdana"/>
        </w:rPr>
        <w:t>he</w:t>
      </w:r>
      <w:r w:rsidR="003B148E">
        <w:rPr>
          <w:rFonts w:ascii="Verdana" w:hAnsi="Verdana"/>
        </w:rPr>
        <w:t xml:space="preserve"> Inspector</w:t>
      </w:r>
      <w:r w:rsidRPr="00B95606">
        <w:rPr>
          <w:rFonts w:ascii="Verdana" w:hAnsi="Verdana"/>
        </w:rPr>
        <w:t xml:space="preserve"> will only recommend changes when the plan is demonstrably flawed. An Inspector is unlikely to query the Council’s subjective judgements.  It is therefor</w:t>
      </w:r>
      <w:r>
        <w:rPr>
          <w:rFonts w:ascii="Verdana" w:hAnsi="Verdana"/>
        </w:rPr>
        <w:t>e</w:t>
      </w:r>
      <w:r w:rsidRPr="00B95606">
        <w:rPr>
          <w:rFonts w:ascii="Verdana" w:hAnsi="Verdana"/>
        </w:rPr>
        <w:t xml:space="preserve"> extremely unlikely that the deletion of all three of main sites</w:t>
      </w:r>
      <w:r w:rsidR="003B148E" w:rsidRPr="003B148E">
        <w:rPr>
          <w:rFonts w:ascii="Verdana" w:hAnsi="Verdana"/>
        </w:rPr>
        <w:t xml:space="preserve"> </w:t>
      </w:r>
      <w:r w:rsidR="003B148E" w:rsidRPr="00B95606">
        <w:rPr>
          <w:rFonts w:ascii="Verdana" w:hAnsi="Verdana"/>
        </w:rPr>
        <w:t xml:space="preserve">will </w:t>
      </w:r>
      <w:r w:rsidR="003B148E">
        <w:rPr>
          <w:rFonts w:ascii="Verdana" w:hAnsi="Verdana"/>
        </w:rPr>
        <w:t xml:space="preserve">be </w:t>
      </w:r>
      <w:r w:rsidR="003B148E" w:rsidRPr="00B95606">
        <w:rPr>
          <w:rFonts w:ascii="Verdana" w:hAnsi="Verdana"/>
        </w:rPr>
        <w:t>recommend</w:t>
      </w:r>
      <w:r w:rsidR="003B148E">
        <w:rPr>
          <w:rFonts w:ascii="Verdana" w:hAnsi="Verdana"/>
        </w:rPr>
        <w:t>ed</w:t>
      </w:r>
      <w:r w:rsidRPr="00B95606">
        <w:rPr>
          <w:rFonts w:ascii="Verdana" w:hAnsi="Verdana"/>
        </w:rPr>
        <w:t xml:space="preserve">.  This raises the possibility that the PC could </w:t>
      </w:r>
      <w:r w:rsidR="00FA55CE">
        <w:rPr>
          <w:rFonts w:ascii="Verdana" w:hAnsi="Verdana"/>
        </w:rPr>
        <w:t xml:space="preserve">prioritise </w:t>
      </w:r>
      <w:r w:rsidRPr="00B95606">
        <w:rPr>
          <w:rFonts w:ascii="Verdana" w:hAnsi="Verdana"/>
        </w:rPr>
        <w:t>its objections</w:t>
      </w:r>
      <w:r w:rsidR="00FA55CE">
        <w:rPr>
          <w:rFonts w:ascii="Verdana" w:hAnsi="Verdana"/>
        </w:rPr>
        <w:t>,</w:t>
      </w:r>
      <w:r w:rsidRPr="00B95606">
        <w:rPr>
          <w:rFonts w:ascii="Verdana" w:hAnsi="Verdana"/>
          <w:color w:val="FF0000"/>
        </w:rPr>
        <w:t xml:space="preserve"> </w:t>
      </w:r>
      <w:r w:rsidRPr="00B95606">
        <w:rPr>
          <w:rFonts w:ascii="Verdana" w:hAnsi="Verdana"/>
        </w:rPr>
        <w:t>although we recognise that it is a democratically elected body and might well want to represent all electors equally.</w:t>
      </w:r>
    </w:p>
    <w:p w:rsidR="007C65EA" w:rsidRDefault="007C65EA">
      <w:pPr>
        <w:rPr>
          <w:rFonts w:ascii="Verdana" w:hAnsi="Verdana"/>
        </w:rPr>
      </w:pPr>
      <w:r>
        <w:rPr>
          <w:rFonts w:ascii="Verdana" w:hAnsi="Verdana"/>
        </w:rPr>
        <w:br w:type="page"/>
      </w:r>
    </w:p>
    <w:p w:rsidR="00B95606" w:rsidRPr="00B95606" w:rsidRDefault="00B95606" w:rsidP="00B95606">
      <w:pPr>
        <w:ind w:left="1170" w:right="1376"/>
        <w:rPr>
          <w:rFonts w:ascii="Verdana" w:hAnsi="Verdana"/>
        </w:rPr>
      </w:pPr>
    </w:p>
    <w:p w:rsidR="00B95606" w:rsidRDefault="00B95606" w:rsidP="0031599F">
      <w:pPr>
        <w:spacing w:after="0"/>
        <w:ind w:left="1170" w:right="1376"/>
        <w:rPr>
          <w:rFonts w:ascii="Verdana" w:hAnsi="Verdana"/>
          <w:b/>
        </w:rPr>
      </w:pPr>
      <w:r w:rsidRPr="00B95606">
        <w:rPr>
          <w:rFonts w:ascii="Verdana" w:hAnsi="Verdana"/>
          <w:b/>
        </w:rPr>
        <w:t xml:space="preserve">The Representation on the </w:t>
      </w:r>
      <w:r w:rsidR="009A690D">
        <w:rPr>
          <w:rFonts w:ascii="Verdana" w:hAnsi="Verdana"/>
          <w:b/>
        </w:rPr>
        <w:t xml:space="preserve">Publication Draft of </w:t>
      </w:r>
      <w:r w:rsidR="009A690D" w:rsidRPr="009A690D">
        <w:rPr>
          <w:rFonts w:ascii="Verdana" w:hAnsi="Verdana"/>
          <w:b/>
        </w:rPr>
        <w:t xml:space="preserve">the </w:t>
      </w:r>
      <w:r w:rsidRPr="009A690D">
        <w:rPr>
          <w:rFonts w:ascii="Verdana" w:hAnsi="Verdana"/>
          <w:b/>
        </w:rPr>
        <w:t>Plan</w:t>
      </w:r>
    </w:p>
    <w:p w:rsidR="0031599F" w:rsidRPr="00B95606" w:rsidRDefault="0031599F" w:rsidP="0031599F">
      <w:pPr>
        <w:spacing w:after="0"/>
        <w:ind w:left="1170" w:right="1376"/>
        <w:rPr>
          <w:rFonts w:ascii="Verdana" w:hAnsi="Verdana"/>
          <w:b/>
        </w:rPr>
      </w:pPr>
    </w:p>
    <w:p w:rsidR="007C65EA" w:rsidRDefault="00B95606" w:rsidP="0031599F">
      <w:pPr>
        <w:spacing w:after="0"/>
        <w:ind w:left="1170" w:right="1376"/>
        <w:rPr>
          <w:rFonts w:ascii="Verdana" w:hAnsi="Verdana"/>
        </w:rPr>
      </w:pPr>
      <w:r w:rsidRPr="00B95606">
        <w:rPr>
          <w:rFonts w:ascii="Verdana" w:hAnsi="Verdana"/>
        </w:rPr>
        <w:t>Given that the Council have not produced any new evidence our main recommendation is that the PC’s representation should be based on that already made in response to the Additional Sit</w:t>
      </w:r>
      <w:r>
        <w:rPr>
          <w:rFonts w:ascii="Verdana" w:hAnsi="Verdana"/>
        </w:rPr>
        <w:t>e</w:t>
      </w:r>
      <w:r w:rsidRPr="00B95606">
        <w:rPr>
          <w:rFonts w:ascii="Verdana" w:hAnsi="Verdana"/>
        </w:rPr>
        <w:t xml:space="preserve">’s </w:t>
      </w:r>
      <w:r w:rsidRPr="00DE6680">
        <w:rPr>
          <w:rFonts w:ascii="Verdana" w:hAnsi="Verdana"/>
        </w:rPr>
        <w:t xml:space="preserve">consultation (August 2017).  </w:t>
      </w:r>
    </w:p>
    <w:p w:rsidR="0031599F" w:rsidRDefault="0031599F" w:rsidP="0031599F">
      <w:pPr>
        <w:spacing w:after="0"/>
        <w:ind w:left="1170" w:right="1376"/>
        <w:rPr>
          <w:rFonts w:ascii="Verdana" w:hAnsi="Verdana"/>
        </w:rPr>
      </w:pPr>
    </w:p>
    <w:p w:rsidR="00CB1931" w:rsidRDefault="00B95606" w:rsidP="0031599F">
      <w:pPr>
        <w:spacing w:after="0"/>
        <w:ind w:left="1170" w:right="1376"/>
        <w:rPr>
          <w:rFonts w:ascii="Verdana" w:hAnsi="Verdana"/>
        </w:rPr>
      </w:pPr>
      <w:r w:rsidRPr="00B95606">
        <w:rPr>
          <w:rFonts w:ascii="Verdana" w:hAnsi="Verdana"/>
        </w:rPr>
        <w:t xml:space="preserve">In our view the strongest case against all three of the development sites is the erosion of the landscape gap between </w:t>
      </w:r>
      <w:proofErr w:type="spellStart"/>
      <w:r w:rsidRPr="00B95606">
        <w:rPr>
          <w:rFonts w:ascii="Verdana" w:hAnsi="Verdana"/>
        </w:rPr>
        <w:t>Pannal</w:t>
      </w:r>
      <w:proofErr w:type="spellEnd"/>
      <w:r w:rsidRPr="00B95606">
        <w:rPr>
          <w:rFonts w:ascii="Verdana" w:hAnsi="Verdana"/>
        </w:rPr>
        <w:t xml:space="preserve"> and Harrogate, which is why we recom</w:t>
      </w:r>
      <w:r>
        <w:rPr>
          <w:rFonts w:ascii="Verdana" w:hAnsi="Verdana"/>
        </w:rPr>
        <w:t>mended the appointment of Smeede</w:t>
      </w:r>
      <w:r w:rsidRPr="00B95606">
        <w:rPr>
          <w:rFonts w:ascii="Verdana" w:hAnsi="Verdana"/>
        </w:rPr>
        <w:t xml:space="preserve">n Foreman as landscape consultants.  </w:t>
      </w:r>
    </w:p>
    <w:p w:rsidR="0031599F" w:rsidRDefault="0031599F" w:rsidP="0031599F">
      <w:pPr>
        <w:spacing w:after="0"/>
        <w:ind w:left="1170" w:right="1376"/>
        <w:rPr>
          <w:rFonts w:ascii="Verdana" w:hAnsi="Verdana"/>
        </w:rPr>
      </w:pPr>
    </w:p>
    <w:p w:rsidR="00CB1931" w:rsidRDefault="00CB1931" w:rsidP="0031599F">
      <w:pPr>
        <w:spacing w:after="0"/>
        <w:ind w:left="1170" w:right="1376"/>
        <w:rPr>
          <w:rFonts w:ascii="Verdana" w:hAnsi="Verdana"/>
        </w:rPr>
      </w:pPr>
      <w:r w:rsidRPr="00B95606">
        <w:rPr>
          <w:rFonts w:ascii="Verdana" w:hAnsi="Verdana"/>
        </w:rPr>
        <w:t xml:space="preserve">We </w:t>
      </w:r>
      <w:r>
        <w:rPr>
          <w:rFonts w:ascii="Verdana" w:hAnsi="Verdana"/>
        </w:rPr>
        <w:t xml:space="preserve">also </w:t>
      </w:r>
      <w:r w:rsidRPr="00B95606">
        <w:rPr>
          <w:rFonts w:ascii="Verdana" w:hAnsi="Verdana"/>
        </w:rPr>
        <w:t xml:space="preserve">recommended the appointment of BWD Consultants </w:t>
      </w:r>
      <w:r>
        <w:rPr>
          <w:rFonts w:ascii="Verdana" w:hAnsi="Verdana"/>
        </w:rPr>
        <w:t>to provide t</w:t>
      </w:r>
      <w:r w:rsidR="00B95606" w:rsidRPr="00B95606">
        <w:rPr>
          <w:rFonts w:ascii="Verdana" w:hAnsi="Verdana"/>
        </w:rPr>
        <w:t xml:space="preserve">he PC </w:t>
      </w:r>
      <w:r>
        <w:rPr>
          <w:rFonts w:ascii="Verdana" w:hAnsi="Verdana"/>
        </w:rPr>
        <w:t>with requested</w:t>
      </w:r>
      <w:r w:rsidR="00B95606" w:rsidRPr="00B95606">
        <w:rPr>
          <w:rFonts w:ascii="Verdana" w:hAnsi="Verdana"/>
        </w:rPr>
        <w:t xml:space="preserve"> evidence on the </w:t>
      </w:r>
      <w:r>
        <w:rPr>
          <w:rFonts w:ascii="Verdana" w:hAnsi="Verdana"/>
        </w:rPr>
        <w:t xml:space="preserve">transport </w:t>
      </w:r>
      <w:r w:rsidR="00B95606" w:rsidRPr="00B95606">
        <w:rPr>
          <w:rFonts w:ascii="Verdana" w:hAnsi="Verdana"/>
        </w:rPr>
        <w:t>implications of the proposals</w:t>
      </w:r>
      <w:r>
        <w:rPr>
          <w:rFonts w:ascii="Verdana" w:hAnsi="Verdana"/>
        </w:rPr>
        <w:t>.</w:t>
      </w:r>
    </w:p>
    <w:p w:rsidR="0031599F" w:rsidRDefault="0031599F" w:rsidP="0031599F">
      <w:pPr>
        <w:spacing w:after="0"/>
        <w:ind w:left="1170" w:right="1376"/>
        <w:rPr>
          <w:rFonts w:ascii="Verdana" w:hAnsi="Verdana"/>
        </w:rPr>
      </w:pPr>
    </w:p>
    <w:p w:rsidR="00B95606" w:rsidRPr="00B95606" w:rsidRDefault="00B95606" w:rsidP="0031599F">
      <w:pPr>
        <w:spacing w:after="0"/>
        <w:ind w:left="1170" w:right="1376"/>
        <w:rPr>
          <w:rFonts w:ascii="Verdana" w:hAnsi="Verdana"/>
        </w:rPr>
      </w:pPr>
      <w:r w:rsidRPr="00B95606">
        <w:rPr>
          <w:rFonts w:ascii="Verdana" w:hAnsi="Verdana"/>
        </w:rPr>
        <w:t>Both consultants have been appointed and we will incorporate their conclusions in a further report which will inform the PC’s eventual representation.  All three reports may, at the PC’s discretion, be included as appendices to the representation.</w:t>
      </w:r>
    </w:p>
    <w:p w:rsidR="00B95606" w:rsidRPr="00B95606" w:rsidRDefault="00B95606" w:rsidP="0031599F">
      <w:pPr>
        <w:spacing w:after="0"/>
        <w:ind w:left="1170" w:right="1376"/>
        <w:rPr>
          <w:rFonts w:ascii="Verdana" w:hAnsi="Verdana"/>
        </w:rPr>
      </w:pPr>
      <w:r w:rsidRPr="00B95606">
        <w:rPr>
          <w:rFonts w:ascii="Verdana" w:hAnsi="Verdana"/>
        </w:rPr>
        <w:t>At this interim stage we consider it relevant to report on a number of specific matters.</w:t>
      </w:r>
    </w:p>
    <w:p w:rsidR="00B95606" w:rsidRDefault="00B95606" w:rsidP="0031599F">
      <w:pPr>
        <w:spacing w:after="0"/>
        <w:ind w:left="1170" w:right="1376"/>
        <w:rPr>
          <w:rFonts w:ascii="Verdana" w:hAnsi="Verdana"/>
        </w:rPr>
      </w:pPr>
    </w:p>
    <w:p w:rsidR="0031599F" w:rsidRPr="00B95606" w:rsidRDefault="0031599F" w:rsidP="0031599F">
      <w:pPr>
        <w:spacing w:after="0"/>
        <w:ind w:left="1170" w:right="1376"/>
        <w:rPr>
          <w:rFonts w:ascii="Verdana" w:hAnsi="Verdana"/>
        </w:rPr>
      </w:pPr>
    </w:p>
    <w:p w:rsidR="00B95606" w:rsidRPr="005A1ED8" w:rsidRDefault="00B95606" w:rsidP="0031599F">
      <w:pPr>
        <w:spacing w:after="0"/>
        <w:ind w:left="1170" w:right="1376"/>
        <w:rPr>
          <w:rFonts w:ascii="Verdana" w:hAnsi="Verdana"/>
          <w:b/>
          <w:i/>
        </w:rPr>
      </w:pPr>
      <w:r w:rsidRPr="005A1ED8">
        <w:rPr>
          <w:rFonts w:ascii="Verdana" w:hAnsi="Verdana"/>
          <w:b/>
          <w:i/>
        </w:rPr>
        <w:t>Housing Need for the District</w:t>
      </w:r>
    </w:p>
    <w:p w:rsidR="0031599F" w:rsidRDefault="0031599F" w:rsidP="0031599F">
      <w:pPr>
        <w:spacing w:after="0"/>
        <w:ind w:left="1170" w:right="1376"/>
        <w:rPr>
          <w:rFonts w:ascii="Verdana" w:hAnsi="Verdana"/>
        </w:rPr>
      </w:pPr>
    </w:p>
    <w:p w:rsidR="00B95606" w:rsidRPr="00F83CB9" w:rsidRDefault="00B95606" w:rsidP="0031599F">
      <w:pPr>
        <w:spacing w:after="0"/>
        <w:ind w:left="1170" w:right="1376"/>
        <w:rPr>
          <w:rFonts w:ascii="Verdana" w:hAnsi="Verdana"/>
          <w:color w:val="00B0F0"/>
        </w:rPr>
      </w:pPr>
      <w:r w:rsidRPr="00B95606">
        <w:rPr>
          <w:rFonts w:ascii="Verdana" w:hAnsi="Verdana"/>
        </w:rPr>
        <w:t xml:space="preserve">We recognise the relevance of this issue to the PC’s case.  Our approach to date has been that an effective appraisal and a (possible) challenge of the Plan’s calculated housing </w:t>
      </w:r>
      <w:r w:rsidRPr="003B148E">
        <w:rPr>
          <w:rFonts w:ascii="Verdana" w:hAnsi="Verdana"/>
        </w:rPr>
        <w:t xml:space="preserve">requirement is beyond the </w:t>
      </w:r>
      <w:r w:rsidR="009713E5" w:rsidRPr="003B148E">
        <w:rPr>
          <w:rFonts w:ascii="Verdana" w:hAnsi="Verdana"/>
        </w:rPr>
        <w:t>scope of our present commission</w:t>
      </w:r>
      <w:r w:rsidRPr="003B148E">
        <w:rPr>
          <w:rFonts w:ascii="Verdana" w:hAnsi="Verdana"/>
        </w:rPr>
        <w:t>.</w:t>
      </w:r>
      <w:r w:rsidR="00F83CB9" w:rsidRPr="003B148E">
        <w:rPr>
          <w:rFonts w:ascii="Verdana" w:hAnsi="Verdana"/>
        </w:rPr>
        <w:t xml:space="preserve"> </w:t>
      </w:r>
    </w:p>
    <w:p w:rsidR="0031599F" w:rsidRDefault="0031599F" w:rsidP="0031599F">
      <w:pPr>
        <w:spacing w:after="0"/>
        <w:ind w:left="1170" w:right="1376"/>
        <w:rPr>
          <w:rFonts w:ascii="Verdana" w:hAnsi="Verdana"/>
        </w:rPr>
      </w:pPr>
    </w:p>
    <w:p w:rsidR="0031599F" w:rsidRDefault="00B95606" w:rsidP="0031599F">
      <w:pPr>
        <w:spacing w:after="0"/>
        <w:ind w:left="1170" w:right="1376"/>
        <w:rPr>
          <w:rFonts w:ascii="Verdana" w:hAnsi="Verdana"/>
        </w:rPr>
      </w:pPr>
      <w:r w:rsidRPr="00B95606">
        <w:rPr>
          <w:rFonts w:ascii="Verdana" w:hAnsi="Verdana"/>
        </w:rPr>
        <w:t>We are aware that the PC has questioned the conclusions in the Housing and Economic Development Needs Assessment (HEDNA), and specifically their view that the Assessment grossly distorts (presumably overestimates) the requirement.  In our view this argument is unlikely to have much purchase with the Inspector given the evidence of the persistent under-delivery of housing in the past and the Government’s determination to increase housing supply.  We draw the PC’s attention to the Council’s Housing Background Paper published in January of this year</w:t>
      </w:r>
      <w:r w:rsidR="0031599F">
        <w:rPr>
          <w:rFonts w:ascii="Verdana" w:hAnsi="Verdana"/>
        </w:rPr>
        <w:t>:</w:t>
      </w:r>
    </w:p>
    <w:p w:rsidR="00B95606" w:rsidRPr="00B95606" w:rsidRDefault="00F83CB9" w:rsidP="0031599F">
      <w:pPr>
        <w:spacing w:after="0"/>
        <w:ind w:left="1170" w:right="1376"/>
        <w:rPr>
          <w:rFonts w:ascii="Verdana" w:hAnsi="Verdana"/>
        </w:rPr>
      </w:pPr>
      <w:r>
        <w:rPr>
          <w:rFonts w:ascii="Verdana" w:hAnsi="Verdana"/>
        </w:rPr>
        <w:t xml:space="preserve"> </w:t>
      </w:r>
      <w:hyperlink r:id="rId9" w:history="1">
        <w:r w:rsidR="0031599F" w:rsidRPr="008B18ED">
          <w:rPr>
            <w:rStyle w:val="Hyperlink"/>
            <w:rFonts w:ascii="Verdana" w:hAnsi="Verdana"/>
          </w:rPr>
          <w:t>https://www.harrogate.gov.uk/downloads/file/3186/2018_january_housing_background_paper</w:t>
        </w:r>
      </w:hyperlink>
      <w:r w:rsidR="0031599F">
        <w:rPr>
          <w:rFonts w:ascii="Verdana" w:hAnsi="Verdana"/>
        </w:rPr>
        <w:t xml:space="preserve"> </w:t>
      </w:r>
    </w:p>
    <w:p w:rsidR="0031599F" w:rsidRDefault="0031599F" w:rsidP="0031599F">
      <w:pPr>
        <w:spacing w:after="0"/>
        <w:ind w:left="1170" w:right="1376"/>
        <w:rPr>
          <w:rFonts w:ascii="Verdana" w:hAnsi="Verdana"/>
        </w:rPr>
      </w:pPr>
    </w:p>
    <w:p w:rsidR="002F44DD" w:rsidRPr="00FA55CE" w:rsidRDefault="00B95606" w:rsidP="0031599F">
      <w:pPr>
        <w:spacing w:after="0"/>
        <w:ind w:left="1170" w:right="1376"/>
        <w:rPr>
          <w:rFonts w:ascii="Verdana" w:hAnsi="Verdana"/>
        </w:rPr>
      </w:pPr>
      <w:r w:rsidRPr="00B95606">
        <w:rPr>
          <w:rFonts w:ascii="Verdana" w:hAnsi="Verdana"/>
        </w:rPr>
        <w:t xml:space="preserve">One specific issue which the PC has brought to our attention is the view of some residents that the housing </w:t>
      </w:r>
      <w:r w:rsidRPr="00FA55CE">
        <w:rPr>
          <w:rFonts w:ascii="Verdana" w:hAnsi="Verdana"/>
        </w:rPr>
        <w:t xml:space="preserve">requirement calculations have not taken account of the windfall supply generated by development of sites for under 5 houses.  </w:t>
      </w:r>
      <w:r w:rsidR="005A1ED8" w:rsidRPr="00FA55CE">
        <w:rPr>
          <w:rFonts w:ascii="Verdana" w:hAnsi="Verdana"/>
        </w:rPr>
        <w:t xml:space="preserve">Indeed it was suggested that such </w:t>
      </w:r>
      <w:r w:rsidR="002F44DD" w:rsidRPr="00FA55CE">
        <w:rPr>
          <w:rFonts w:ascii="Verdana" w:hAnsi="Verdana"/>
        </w:rPr>
        <w:t>sites should have been considered for allocation</w:t>
      </w:r>
      <w:r w:rsidR="00DA5484" w:rsidRPr="00FA55CE">
        <w:rPr>
          <w:rFonts w:ascii="Verdana" w:hAnsi="Verdana"/>
        </w:rPr>
        <w:t xml:space="preserve"> in the plan.</w:t>
      </w:r>
    </w:p>
    <w:p w:rsidR="0031599F" w:rsidRDefault="0031599F" w:rsidP="0031599F">
      <w:pPr>
        <w:spacing w:after="0"/>
        <w:ind w:left="1170" w:right="1376"/>
        <w:rPr>
          <w:rFonts w:ascii="Verdana" w:hAnsi="Verdana"/>
        </w:rPr>
      </w:pPr>
    </w:p>
    <w:p w:rsidR="00B95606" w:rsidRPr="003B148E" w:rsidRDefault="00B95606" w:rsidP="0031599F">
      <w:pPr>
        <w:spacing w:after="0"/>
        <w:ind w:left="1170" w:right="1376"/>
        <w:rPr>
          <w:rFonts w:ascii="Verdana" w:hAnsi="Verdana"/>
        </w:rPr>
      </w:pPr>
      <w:r w:rsidRPr="00B95606">
        <w:rPr>
          <w:rFonts w:ascii="Verdana" w:hAnsi="Verdana"/>
        </w:rPr>
        <w:lastRenderedPageBreak/>
        <w:t>In fact,</w:t>
      </w:r>
      <w:r w:rsidR="002F44DD">
        <w:rPr>
          <w:rFonts w:ascii="Verdana" w:hAnsi="Verdana"/>
        </w:rPr>
        <w:t xml:space="preserve"> </w:t>
      </w:r>
      <w:r w:rsidRPr="00B95606">
        <w:rPr>
          <w:rFonts w:ascii="Verdana" w:hAnsi="Verdana"/>
        </w:rPr>
        <w:t>the Council have assumed that such sites will contribute 1455 houses to the supply over the plan period</w:t>
      </w:r>
      <w:r w:rsidR="003B148E">
        <w:rPr>
          <w:rFonts w:ascii="Verdana" w:hAnsi="Verdana"/>
        </w:rPr>
        <w:t xml:space="preserve"> without the need for allocation</w:t>
      </w:r>
      <w:r w:rsidRPr="00B95606">
        <w:rPr>
          <w:rFonts w:ascii="Verdana" w:hAnsi="Verdana"/>
        </w:rPr>
        <w:t>.  Moreover, this excludes any c</w:t>
      </w:r>
      <w:r w:rsidR="00F83CB9">
        <w:rPr>
          <w:rFonts w:ascii="Verdana" w:hAnsi="Verdana"/>
        </w:rPr>
        <w:t>ontribution from houses built on</w:t>
      </w:r>
      <w:r w:rsidRPr="00B95606">
        <w:rPr>
          <w:rFonts w:ascii="Verdana" w:hAnsi="Verdana"/>
        </w:rPr>
        <w:t xml:space="preserve"> garden land, in accordance with </w:t>
      </w:r>
      <w:r w:rsidRPr="003B148E">
        <w:rPr>
          <w:rFonts w:ascii="Verdana" w:hAnsi="Verdana"/>
        </w:rPr>
        <w:t>advice in the National Planning Policy Framework (NPPF).</w:t>
      </w:r>
    </w:p>
    <w:p w:rsidR="0031599F" w:rsidRDefault="0031599F" w:rsidP="0031599F">
      <w:pPr>
        <w:spacing w:after="0"/>
        <w:ind w:left="1170" w:right="1376"/>
        <w:rPr>
          <w:rFonts w:ascii="Verdana" w:hAnsi="Verdana"/>
        </w:rPr>
      </w:pPr>
    </w:p>
    <w:p w:rsidR="00B95606" w:rsidRPr="003B148E" w:rsidRDefault="009713E5" w:rsidP="0031599F">
      <w:pPr>
        <w:spacing w:after="0"/>
        <w:ind w:left="1170" w:right="1376"/>
        <w:rPr>
          <w:rFonts w:ascii="Verdana" w:hAnsi="Verdana"/>
        </w:rPr>
      </w:pPr>
      <w:r w:rsidRPr="003B148E">
        <w:rPr>
          <w:rFonts w:ascii="Verdana" w:hAnsi="Verdana"/>
        </w:rPr>
        <w:t xml:space="preserve">We understand that the PC </w:t>
      </w:r>
      <w:proofErr w:type="gramStart"/>
      <w:r w:rsidRPr="003B148E">
        <w:rPr>
          <w:rFonts w:ascii="Verdana" w:hAnsi="Verdana"/>
        </w:rPr>
        <w:t>are</w:t>
      </w:r>
      <w:proofErr w:type="gramEnd"/>
      <w:r w:rsidRPr="003B148E">
        <w:rPr>
          <w:rFonts w:ascii="Verdana" w:hAnsi="Verdana"/>
        </w:rPr>
        <w:t xml:space="preserve"> considering cooperating with other groups to the west of Harr</w:t>
      </w:r>
      <w:r w:rsidR="00832A99" w:rsidRPr="003B148E">
        <w:rPr>
          <w:rFonts w:ascii="Verdana" w:hAnsi="Verdana"/>
        </w:rPr>
        <w:t>o</w:t>
      </w:r>
      <w:r w:rsidRPr="003B148E">
        <w:rPr>
          <w:rFonts w:ascii="Verdana" w:hAnsi="Verdana"/>
        </w:rPr>
        <w:t>gate</w:t>
      </w:r>
      <w:r w:rsidR="003B148E">
        <w:rPr>
          <w:rFonts w:ascii="Verdana" w:hAnsi="Verdana"/>
        </w:rPr>
        <w:t xml:space="preserve">. </w:t>
      </w:r>
      <w:r w:rsidR="005C2F4D">
        <w:rPr>
          <w:rFonts w:ascii="Verdana" w:hAnsi="Verdana"/>
        </w:rPr>
        <w:t>A</w:t>
      </w:r>
      <w:r w:rsidR="00832A99" w:rsidRPr="003B148E">
        <w:rPr>
          <w:rFonts w:ascii="Verdana" w:hAnsi="Verdana"/>
        </w:rPr>
        <w:t xml:space="preserve"> </w:t>
      </w:r>
      <w:r w:rsidRPr="003B148E">
        <w:rPr>
          <w:rFonts w:ascii="Verdana" w:hAnsi="Verdana"/>
        </w:rPr>
        <w:t xml:space="preserve">challenge </w:t>
      </w:r>
      <w:r w:rsidR="005C2F4D">
        <w:rPr>
          <w:rFonts w:ascii="Verdana" w:hAnsi="Verdana"/>
        </w:rPr>
        <w:t xml:space="preserve">to </w:t>
      </w:r>
      <w:r w:rsidRPr="003B148E">
        <w:rPr>
          <w:rFonts w:ascii="Verdana" w:hAnsi="Verdana"/>
        </w:rPr>
        <w:t>the housing requirement calculation which underpins the plan</w:t>
      </w:r>
      <w:r w:rsidR="005C2F4D">
        <w:rPr>
          <w:rFonts w:ascii="Verdana" w:hAnsi="Verdana"/>
        </w:rPr>
        <w:t xml:space="preserve"> could be explored through such a collaboration</w:t>
      </w:r>
      <w:r w:rsidRPr="003B148E">
        <w:rPr>
          <w:rFonts w:ascii="Verdana" w:hAnsi="Verdana"/>
        </w:rPr>
        <w:t xml:space="preserve">.   </w:t>
      </w:r>
      <w:r w:rsidR="00B95606" w:rsidRPr="003B148E">
        <w:rPr>
          <w:rFonts w:ascii="Verdana" w:hAnsi="Verdana"/>
        </w:rPr>
        <w:t xml:space="preserve">We are happy to undertake a more detailed appraisal of the housing background evidence if the PC wishes but </w:t>
      </w:r>
      <w:r w:rsidRPr="003B148E">
        <w:rPr>
          <w:rFonts w:ascii="Verdana" w:hAnsi="Verdana"/>
        </w:rPr>
        <w:t>is outside the scope of our present commission.</w:t>
      </w:r>
    </w:p>
    <w:p w:rsidR="0031599F" w:rsidRDefault="0031599F" w:rsidP="0031599F">
      <w:pPr>
        <w:spacing w:after="0"/>
        <w:ind w:left="1170" w:right="1376"/>
        <w:rPr>
          <w:rFonts w:ascii="Verdana" w:hAnsi="Verdana"/>
        </w:rPr>
      </w:pPr>
    </w:p>
    <w:p w:rsidR="00B95606" w:rsidRPr="00B95606" w:rsidRDefault="00B95606" w:rsidP="0031599F">
      <w:pPr>
        <w:spacing w:after="0"/>
        <w:ind w:left="1170" w:right="1376"/>
        <w:rPr>
          <w:rFonts w:ascii="Verdana" w:hAnsi="Verdana"/>
        </w:rPr>
      </w:pPr>
      <w:r w:rsidRPr="003B148E">
        <w:rPr>
          <w:rFonts w:ascii="Verdana" w:hAnsi="Verdana"/>
        </w:rPr>
        <w:t>We have said in our</w:t>
      </w:r>
      <w:r w:rsidR="00F83CB9" w:rsidRPr="003B148E">
        <w:rPr>
          <w:rFonts w:ascii="Verdana" w:hAnsi="Verdana"/>
        </w:rPr>
        <w:t xml:space="preserve"> August 2017</w:t>
      </w:r>
      <w:r w:rsidRPr="003B148E">
        <w:rPr>
          <w:rFonts w:ascii="Verdana" w:hAnsi="Verdana"/>
        </w:rPr>
        <w:t xml:space="preserve"> </w:t>
      </w:r>
      <w:r w:rsidRPr="00FA55CE">
        <w:rPr>
          <w:rFonts w:ascii="Verdana" w:hAnsi="Verdana"/>
        </w:rPr>
        <w:t xml:space="preserve">report that it is rarely enough for local objectors to show that an allocation will have damaging effects.  It is also necessary to convince an Inspector that the required development </w:t>
      </w:r>
      <w:r w:rsidRPr="00B95606">
        <w:rPr>
          <w:rFonts w:ascii="Verdana" w:hAnsi="Verdana"/>
        </w:rPr>
        <w:t xml:space="preserve">can be located somewhere else with less damage.  This is difficult for individuals or organisations which rarely have the resources to carry out a district-wide site appraisal.  In this regard </w:t>
      </w:r>
      <w:proofErr w:type="spellStart"/>
      <w:r w:rsidRPr="00B95606">
        <w:rPr>
          <w:rFonts w:ascii="Verdana" w:hAnsi="Verdana"/>
        </w:rPr>
        <w:t>Pannal</w:t>
      </w:r>
      <w:proofErr w:type="spellEnd"/>
      <w:r w:rsidRPr="00B95606">
        <w:rPr>
          <w:rFonts w:ascii="Verdana" w:hAnsi="Verdana"/>
        </w:rPr>
        <w:t xml:space="preserve"> is in an unusual position in that (in our view) development could be located in the Green Belt to the south of the village with significantly less damage.  This would not overcome the PC’s argument (see below) that </w:t>
      </w:r>
      <w:proofErr w:type="spellStart"/>
      <w:r w:rsidRPr="00B95606">
        <w:rPr>
          <w:rFonts w:ascii="Verdana" w:hAnsi="Verdana"/>
        </w:rPr>
        <w:t>Pannal</w:t>
      </w:r>
      <w:proofErr w:type="spellEnd"/>
      <w:r w:rsidRPr="00B95606">
        <w:rPr>
          <w:rFonts w:ascii="Verdana" w:hAnsi="Verdana"/>
        </w:rPr>
        <w:t xml:space="preserve"> is being allocated a disproportionate amount of growth but it would reduce other forms of harm.</w:t>
      </w:r>
    </w:p>
    <w:p w:rsidR="0031599F" w:rsidRDefault="0031599F" w:rsidP="0031599F">
      <w:pPr>
        <w:spacing w:after="0"/>
        <w:ind w:left="1170" w:right="1376"/>
        <w:rPr>
          <w:rFonts w:ascii="Verdana" w:hAnsi="Verdana"/>
        </w:rPr>
      </w:pPr>
    </w:p>
    <w:p w:rsidR="00B95606" w:rsidRPr="00E1246E" w:rsidRDefault="00B95606" w:rsidP="0031599F">
      <w:pPr>
        <w:spacing w:after="0"/>
        <w:ind w:left="1170" w:right="1376"/>
        <w:rPr>
          <w:rFonts w:ascii="Verdana" w:hAnsi="Verdana"/>
        </w:rPr>
      </w:pPr>
      <w:r w:rsidRPr="00B95606">
        <w:rPr>
          <w:rFonts w:ascii="Verdana" w:hAnsi="Verdana"/>
        </w:rPr>
        <w:t>What follows in this paragraph is anecdotal: we have never attempted</w:t>
      </w:r>
      <w:r w:rsidR="00F83CB9">
        <w:rPr>
          <w:rFonts w:ascii="Verdana" w:hAnsi="Verdana"/>
        </w:rPr>
        <w:t xml:space="preserve"> to locate documentary evidence</w:t>
      </w:r>
      <w:r w:rsidRPr="00B95606">
        <w:rPr>
          <w:rFonts w:ascii="Verdana" w:hAnsi="Verdana"/>
        </w:rPr>
        <w:t xml:space="preserve">.  We have been told that Harrogate </w:t>
      </w:r>
      <w:r w:rsidR="00F83CB9">
        <w:rPr>
          <w:rFonts w:ascii="Verdana" w:hAnsi="Verdana"/>
        </w:rPr>
        <w:t xml:space="preserve">Borough </w:t>
      </w:r>
      <w:r w:rsidRPr="00B95606">
        <w:rPr>
          <w:rFonts w:ascii="Verdana" w:hAnsi="Verdana"/>
        </w:rPr>
        <w:t xml:space="preserve">Council originally wanted the Green Belt designation to cover the gap between </w:t>
      </w:r>
      <w:proofErr w:type="spellStart"/>
      <w:r w:rsidRPr="00B95606">
        <w:rPr>
          <w:rFonts w:ascii="Verdana" w:hAnsi="Verdana"/>
        </w:rPr>
        <w:t>Pannal</w:t>
      </w:r>
      <w:proofErr w:type="spellEnd"/>
      <w:r w:rsidRPr="00B95606">
        <w:rPr>
          <w:rFonts w:ascii="Verdana" w:hAnsi="Verdana"/>
        </w:rPr>
        <w:t xml:space="preserve"> and Harrogate, just as it covers that between Knaresborough and Harrogate.  However, the Government Office for Yorkshire and Humberside considered that the only way this could be achieved would be drawing a line around </w:t>
      </w:r>
      <w:proofErr w:type="spellStart"/>
      <w:r w:rsidRPr="00B95606">
        <w:rPr>
          <w:rFonts w:ascii="Verdana" w:hAnsi="Verdana"/>
        </w:rPr>
        <w:t>Pannal</w:t>
      </w:r>
      <w:proofErr w:type="spellEnd"/>
      <w:r w:rsidRPr="00B95606">
        <w:rPr>
          <w:rFonts w:ascii="Verdana" w:hAnsi="Verdana"/>
        </w:rPr>
        <w:t xml:space="preserve">, leaving it as an unusually large inset in the Green Belt.  Denied this opportunity, the Council designated the area to the south and west of Harrogate as a Special Landscape </w:t>
      </w:r>
      <w:r w:rsidRPr="00E1246E">
        <w:rPr>
          <w:rFonts w:ascii="Verdana" w:hAnsi="Verdana"/>
        </w:rPr>
        <w:t>Area</w:t>
      </w:r>
      <w:r w:rsidR="005C2F4D" w:rsidRPr="00E1246E">
        <w:rPr>
          <w:rFonts w:ascii="Verdana" w:hAnsi="Verdana"/>
        </w:rPr>
        <w:t>. This is a local designation</w:t>
      </w:r>
      <w:r w:rsidRPr="00E1246E">
        <w:rPr>
          <w:rFonts w:ascii="Verdana" w:hAnsi="Verdana"/>
        </w:rPr>
        <w:t xml:space="preserve"> which has in the past had a similar, although not as draconian, restraining effect</w:t>
      </w:r>
      <w:r w:rsidR="005C2F4D" w:rsidRPr="00E1246E">
        <w:rPr>
          <w:rFonts w:ascii="Verdana" w:hAnsi="Verdana"/>
        </w:rPr>
        <w:t xml:space="preserve"> as the Green Belt designation</w:t>
      </w:r>
      <w:r w:rsidRPr="00E1246E">
        <w:rPr>
          <w:rFonts w:ascii="Verdana" w:hAnsi="Verdana"/>
        </w:rPr>
        <w:t>.</w:t>
      </w:r>
    </w:p>
    <w:p w:rsidR="009D2300" w:rsidRDefault="009D2300" w:rsidP="0031599F">
      <w:pPr>
        <w:spacing w:after="0"/>
        <w:ind w:left="1170" w:right="1376"/>
        <w:rPr>
          <w:rFonts w:ascii="Verdana" w:hAnsi="Verdana"/>
        </w:rPr>
      </w:pPr>
    </w:p>
    <w:p w:rsidR="00B95606" w:rsidRPr="00B95606" w:rsidRDefault="00B95606" w:rsidP="0031599F">
      <w:pPr>
        <w:spacing w:after="0"/>
        <w:ind w:left="1170" w:right="1376"/>
        <w:rPr>
          <w:rFonts w:ascii="Verdana" w:hAnsi="Verdana"/>
        </w:rPr>
      </w:pPr>
      <w:r w:rsidRPr="00B95606">
        <w:rPr>
          <w:rFonts w:ascii="Verdana" w:hAnsi="Verdana"/>
        </w:rPr>
        <w:t xml:space="preserve">The particular character of the Crimple Valley is genuinely that of significant landscape value, unlike a Green Belt, which merely has to satisfy the criterion of being </w:t>
      </w:r>
      <w:r w:rsidR="00F83CB9">
        <w:rPr>
          <w:rFonts w:ascii="Verdana" w:hAnsi="Verdana"/>
        </w:rPr>
        <w:t>‘</w:t>
      </w:r>
      <w:r w:rsidRPr="00B95606">
        <w:rPr>
          <w:rFonts w:ascii="Verdana" w:hAnsi="Verdana"/>
        </w:rPr>
        <w:t>open</w:t>
      </w:r>
      <w:r w:rsidR="00F83CB9">
        <w:rPr>
          <w:rFonts w:ascii="Verdana" w:hAnsi="Verdana"/>
        </w:rPr>
        <w:t>’</w:t>
      </w:r>
      <w:r w:rsidRPr="00B95606">
        <w:rPr>
          <w:rFonts w:ascii="Verdana" w:hAnsi="Verdana"/>
        </w:rPr>
        <w:t>.  Therefore, in a world without Green Belts, it would make better environmental sense for any required housing and/or employment allocations to be to the south of the village.  In present circumstances this would require a review of Green Belt Policy.  To run any such argument at a Local Plan Examination would be a radical approach, although it may well be one put by others.</w:t>
      </w:r>
    </w:p>
    <w:p w:rsidR="009D2300" w:rsidRDefault="009D2300" w:rsidP="0031599F">
      <w:pPr>
        <w:spacing w:after="0"/>
        <w:ind w:left="1170" w:right="1376"/>
        <w:rPr>
          <w:rFonts w:ascii="Verdana" w:hAnsi="Verdana"/>
        </w:rPr>
      </w:pPr>
    </w:p>
    <w:p w:rsidR="00B95606" w:rsidRPr="00B95606" w:rsidRDefault="00B95606" w:rsidP="0031599F">
      <w:pPr>
        <w:spacing w:after="0"/>
        <w:ind w:left="1170" w:right="1376"/>
        <w:rPr>
          <w:rFonts w:ascii="Verdana" w:hAnsi="Verdana"/>
        </w:rPr>
      </w:pPr>
      <w:r w:rsidRPr="00B95606">
        <w:rPr>
          <w:rFonts w:ascii="Verdana" w:hAnsi="Verdana"/>
        </w:rPr>
        <w:t xml:space="preserve">Our opinion is that an Inspector would be reluctant to embrace such a radical approach, especially when it is not favoured by the Council.  Also the PC might see it as an implicit recognition that the </w:t>
      </w:r>
      <w:proofErr w:type="spellStart"/>
      <w:r w:rsidRPr="00B95606">
        <w:rPr>
          <w:rFonts w:ascii="Verdana" w:hAnsi="Verdana"/>
        </w:rPr>
        <w:t>Pannal</w:t>
      </w:r>
      <w:proofErr w:type="spellEnd"/>
      <w:r w:rsidRPr="00B95606">
        <w:rPr>
          <w:rFonts w:ascii="Verdana" w:hAnsi="Verdana"/>
        </w:rPr>
        <w:t xml:space="preserve"> area should accept significant growth (again contrary to </w:t>
      </w:r>
      <w:r w:rsidR="00FA55CE">
        <w:rPr>
          <w:rFonts w:ascii="Verdana" w:hAnsi="Verdana"/>
        </w:rPr>
        <w:t xml:space="preserve">the argument discussed below). </w:t>
      </w:r>
    </w:p>
    <w:p w:rsidR="009D2300" w:rsidRDefault="009D2300" w:rsidP="0031599F">
      <w:pPr>
        <w:spacing w:after="0"/>
        <w:ind w:left="1170" w:right="1376"/>
        <w:rPr>
          <w:rFonts w:ascii="Verdana" w:hAnsi="Verdana"/>
          <w:b/>
          <w:i/>
        </w:rPr>
      </w:pPr>
    </w:p>
    <w:p w:rsidR="009D2300" w:rsidRDefault="009D2300" w:rsidP="0031599F">
      <w:pPr>
        <w:spacing w:after="0"/>
        <w:ind w:left="1170" w:right="1376"/>
        <w:rPr>
          <w:rFonts w:ascii="Verdana" w:hAnsi="Verdana"/>
          <w:b/>
          <w:i/>
        </w:rPr>
      </w:pPr>
    </w:p>
    <w:p w:rsidR="009D2300" w:rsidRDefault="009D2300" w:rsidP="0031599F">
      <w:pPr>
        <w:spacing w:after="0"/>
        <w:ind w:left="1170" w:right="1376"/>
        <w:rPr>
          <w:rFonts w:ascii="Verdana" w:hAnsi="Verdana"/>
          <w:b/>
          <w:i/>
        </w:rPr>
      </w:pPr>
    </w:p>
    <w:p w:rsidR="009D2300" w:rsidRDefault="009D2300" w:rsidP="0031599F">
      <w:pPr>
        <w:spacing w:after="0"/>
        <w:ind w:left="1170" w:right="1376"/>
        <w:rPr>
          <w:rFonts w:ascii="Verdana" w:hAnsi="Verdana"/>
          <w:b/>
          <w:i/>
        </w:rPr>
      </w:pPr>
    </w:p>
    <w:p w:rsidR="00B95606" w:rsidRPr="00303F4A" w:rsidRDefault="00B95606" w:rsidP="0031599F">
      <w:pPr>
        <w:spacing w:after="0"/>
        <w:ind w:left="1170" w:right="1376"/>
        <w:rPr>
          <w:rFonts w:ascii="Verdana" w:hAnsi="Verdana"/>
          <w:b/>
          <w:i/>
        </w:rPr>
      </w:pPr>
      <w:bookmarkStart w:id="0" w:name="_GoBack"/>
      <w:bookmarkEnd w:id="0"/>
      <w:r w:rsidRPr="00303F4A">
        <w:rPr>
          <w:rFonts w:ascii="Verdana" w:hAnsi="Verdana"/>
          <w:b/>
          <w:i/>
        </w:rPr>
        <w:t xml:space="preserve">Disproportionate Growth allocated to </w:t>
      </w:r>
      <w:proofErr w:type="spellStart"/>
      <w:r w:rsidRPr="00303F4A">
        <w:rPr>
          <w:rFonts w:ascii="Verdana" w:hAnsi="Verdana"/>
          <w:b/>
          <w:i/>
        </w:rPr>
        <w:t>Pannal</w:t>
      </w:r>
      <w:proofErr w:type="spellEnd"/>
    </w:p>
    <w:p w:rsidR="009D2300" w:rsidRDefault="009D2300" w:rsidP="0031599F">
      <w:pPr>
        <w:spacing w:after="0"/>
        <w:ind w:left="1170" w:right="1376"/>
        <w:rPr>
          <w:rFonts w:ascii="Verdana" w:hAnsi="Verdana"/>
        </w:rPr>
      </w:pPr>
    </w:p>
    <w:p w:rsidR="00B95606" w:rsidRPr="00B95606" w:rsidRDefault="00B95606" w:rsidP="0031599F">
      <w:pPr>
        <w:spacing w:after="0"/>
        <w:ind w:left="1170" w:right="1376"/>
        <w:rPr>
          <w:rFonts w:ascii="Verdana" w:hAnsi="Verdana"/>
        </w:rPr>
      </w:pPr>
      <w:r w:rsidRPr="00B95606">
        <w:rPr>
          <w:rFonts w:ascii="Verdana" w:hAnsi="Verdana"/>
        </w:rPr>
        <w:t xml:space="preserve">We are aware that the PC </w:t>
      </w:r>
      <w:proofErr w:type="gramStart"/>
      <w:r w:rsidRPr="00B95606">
        <w:rPr>
          <w:rFonts w:ascii="Verdana" w:hAnsi="Verdana"/>
        </w:rPr>
        <w:t>have</w:t>
      </w:r>
      <w:proofErr w:type="gramEnd"/>
      <w:r w:rsidRPr="00B95606">
        <w:rPr>
          <w:rFonts w:ascii="Verdana" w:hAnsi="Verdana"/>
        </w:rPr>
        <w:t xml:space="preserve"> made representations under this heading.  Whilst the representation is technically correct it should be recognised that, like </w:t>
      </w:r>
      <w:proofErr w:type="spellStart"/>
      <w:r w:rsidRPr="00B95606">
        <w:rPr>
          <w:rFonts w:ascii="Verdana" w:hAnsi="Verdana"/>
        </w:rPr>
        <w:t>Killinghall</w:t>
      </w:r>
      <w:proofErr w:type="spellEnd"/>
      <w:r w:rsidRPr="00B95606">
        <w:rPr>
          <w:rFonts w:ascii="Verdana" w:hAnsi="Verdana"/>
        </w:rPr>
        <w:t>, its proximity to the District’s larg</w:t>
      </w:r>
      <w:r w:rsidR="005C2F4D">
        <w:rPr>
          <w:rFonts w:ascii="Verdana" w:hAnsi="Verdana"/>
        </w:rPr>
        <w:t xml:space="preserve">est settlement differentiates </w:t>
      </w:r>
      <w:proofErr w:type="spellStart"/>
      <w:r w:rsidR="005C2F4D">
        <w:rPr>
          <w:rFonts w:ascii="Verdana" w:hAnsi="Verdana"/>
        </w:rPr>
        <w:t>Pannal</w:t>
      </w:r>
      <w:proofErr w:type="spellEnd"/>
      <w:r w:rsidRPr="00B95606">
        <w:rPr>
          <w:rFonts w:ascii="Verdana" w:hAnsi="Verdana"/>
        </w:rPr>
        <w:t xml:space="preserve"> from most other villages.  There is also no overriding planning principle that all settlements should have an equal share of growth. While the PC’s observation has valid social implications we would put greater emphasis on the landscape value of the gap between </w:t>
      </w:r>
      <w:proofErr w:type="spellStart"/>
      <w:r w:rsidRPr="00B95606">
        <w:rPr>
          <w:rFonts w:ascii="Verdana" w:hAnsi="Verdana"/>
        </w:rPr>
        <w:t>Pannal</w:t>
      </w:r>
      <w:proofErr w:type="spellEnd"/>
      <w:r w:rsidRPr="00B95606">
        <w:rPr>
          <w:rFonts w:ascii="Verdana" w:hAnsi="Verdana"/>
        </w:rPr>
        <w:t xml:space="preserve"> and Harrogate.  </w:t>
      </w:r>
    </w:p>
    <w:p w:rsidR="00B95606" w:rsidRDefault="00B95606" w:rsidP="0031599F">
      <w:pPr>
        <w:spacing w:after="0"/>
        <w:ind w:left="1170" w:right="1376"/>
        <w:rPr>
          <w:rFonts w:ascii="Verdana" w:hAnsi="Verdana"/>
        </w:rPr>
      </w:pPr>
    </w:p>
    <w:p w:rsidR="009D2300" w:rsidRPr="00B95606" w:rsidRDefault="009D2300" w:rsidP="0031599F">
      <w:pPr>
        <w:spacing w:after="0"/>
        <w:ind w:left="1170" w:right="1376"/>
        <w:rPr>
          <w:rFonts w:ascii="Verdana" w:hAnsi="Verdana"/>
        </w:rPr>
      </w:pPr>
    </w:p>
    <w:p w:rsidR="00B95606" w:rsidRPr="00303F4A" w:rsidRDefault="00B95606" w:rsidP="0031599F">
      <w:pPr>
        <w:spacing w:after="0"/>
        <w:ind w:left="1170" w:right="1376"/>
        <w:rPr>
          <w:rFonts w:ascii="Verdana" w:hAnsi="Verdana"/>
          <w:b/>
          <w:i/>
        </w:rPr>
      </w:pPr>
      <w:r w:rsidRPr="00303F4A">
        <w:rPr>
          <w:rFonts w:ascii="Verdana" w:hAnsi="Verdana"/>
          <w:b/>
          <w:i/>
        </w:rPr>
        <w:t>Hydro</w:t>
      </w:r>
      <w:r w:rsidR="00DA5484" w:rsidRPr="00303F4A">
        <w:rPr>
          <w:rFonts w:ascii="Verdana" w:hAnsi="Verdana"/>
          <w:b/>
          <w:i/>
        </w:rPr>
        <w:t>logical</w:t>
      </w:r>
      <w:r w:rsidRPr="00303F4A">
        <w:rPr>
          <w:rFonts w:ascii="Verdana" w:hAnsi="Verdana"/>
          <w:b/>
          <w:i/>
        </w:rPr>
        <w:t xml:space="preserve"> Survey</w:t>
      </w:r>
    </w:p>
    <w:p w:rsidR="009D2300" w:rsidRDefault="009D2300" w:rsidP="0031599F">
      <w:pPr>
        <w:spacing w:after="0"/>
        <w:ind w:left="1170" w:right="1376"/>
        <w:rPr>
          <w:rFonts w:ascii="Verdana" w:hAnsi="Verdana"/>
        </w:rPr>
      </w:pPr>
    </w:p>
    <w:p w:rsidR="00B95606" w:rsidRPr="002F44DD" w:rsidRDefault="00B95606" w:rsidP="0031599F">
      <w:pPr>
        <w:spacing w:after="0"/>
        <w:ind w:left="1170" w:right="1376"/>
        <w:rPr>
          <w:rFonts w:ascii="Verdana" w:hAnsi="Verdana"/>
          <w:color w:val="00B0F0"/>
        </w:rPr>
      </w:pPr>
      <w:r w:rsidRPr="00B95606">
        <w:rPr>
          <w:rFonts w:ascii="Verdana" w:hAnsi="Verdana"/>
        </w:rPr>
        <w:t xml:space="preserve">In essence </w:t>
      </w:r>
      <w:r w:rsidRPr="00DA5484">
        <w:rPr>
          <w:rFonts w:ascii="Verdana" w:hAnsi="Verdana"/>
        </w:rPr>
        <w:t xml:space="preserve">this survey </w:t>
      </w:r>
      <w:r w:rsidR="002F44DD" w:rsidRPr="00DA5484">
        <w:rPr>
          <w:rFonts w:ascii="Verdana" w:hAnsi="Verdana"/>
        </w:rPr>
        <w:t xml:space="preserve">(submitted by the PC in August 2017) </w:t>
      </w:r>
      <w:r w:rsidRPr="00DA5484">
        <w:rPr>
          <w:rFonts w:ascii="Verdana" w:hAnsi="Verdana"/>
        </w:rPr>
        <w:t xml:space="preserve">challenges </w:t>
      </w:r>
      <w:r w:rsidRPr="00B95606">
        <w:rPr>
          <w:rFonts w:ascii="Verdana" w:hAnsi="Verdana"/>
        </w:rPr>
        <w:t>the technical approach of the Council and its consultees.  While we understand the arguments, it is not a matter on which we have sufficient technical knowledge to take a firm view.  In relation to highway matters the author of this report has worked within highway consultancies and therefore feels competent to incorporate technical highways evidence into an overall recommendation.  Similarly, landscape assessment is sufficiently close to our own</w:t>
      </w:r>
      <w:r w:rsidR="00303F4A">
        <w:rPr>
          <w:rFonts w:ascii="Verdana" w:hAnsi="Verdana"/>
        </w:rPr>
        <w:t xml:space="preserve"> professional experience</w:t>
      </w:r>
      <w:r w:rsidRPr="00B95606">
        <w:rPr>
          <w:rFonts w:ascii="Verdana" w:hAnsi="Verdana"/>
        </w:rPr>
        <w:t xml:space="preserve"> for us to use it as part of a wider appraisal.  However, the Hydro</w:t>
      </w:r>
      <w:r w:rsidR="00DA5484">
        <w:rPr>
          <w:rFonts w:ascii="Verdana" w:hAnsi="Verdana"/>
        </w:rPr>
        <w:t>lo</w:t>
      </w:r>
      <w:r w:rsidRPr="00B95606">
        <w:rPr>
          <w:rFonts w:ascii="Verdana" w:hAnsi="Verdana"/>
        </w:rPr>
        <w:t>gical Su</w:t>
      </w:r>
      <w:r w:rsidR="00F83CB9">
        <w:rPr>
          <w:rFonts w:ascii="Verdana" w:hAnsi="Verdana"/>
        </w:rPr>
        <w:t>r</w:t>
      </w:r>
      <w:r w:rsidRPr="00B95606">
        <w:rPr>
          <w:rFonts w:ascii="Verdana" w:hAnsi="Verdana"/>
        </w:rPr>
        <w:t xml:space="preserve">vey produced as part of the PC’s representations, especially one which challenges conventional analyses, raises issues beyond </w:t>
      </w:r>
      <w:r w:rsidR="00DA5484">
        <w:rPr>
          <w:rFonts w:ascii="Verdana" w:hAnsi="Verdana"/>
        </w:rPr>
        <w:t xml:space="preserve">the scope of </w:t>
      </w:r>
      <w:r w:rsidRPr="00B95606">
        <w:rPr>
          <w:rFonts w:ascii="Verdana" w:hAnsi="Verdana"/>
        </w:rPr>
        <w:t>our</w:t>
      </w:r>
      <w:r w:rsidR="00DA5484">
        <w:rPr>
          <w:rFonts w:ascii="Verdana" w:hAnsi="Verdana"/>
        </w:rPr>
        <w:t xml:space="preserve"> expertise</w:t>
      </w:r>
      <w:r w:rsidRPr="00B95606">
        <w:rPr>
          <w:rFonts w:ascii="Verdana" w:hAnsi="Verdana"/>
        </w:rPr>
        <w:t>.</w:t>
      </w:r>
      <w:r w:rsidR="002F44DD">
        <w:rPr>
          <w:rFonts w:ascii="Verdana" w:hAnsi="Verdana"/>
        </w:rPr>
        <w:t xml:space="preserve"> </w:t>
      </w:r>
      <w:r w:rsidR="00DA5484">
        <w:rPr>
          <w:rFonts w:ascii="Verdana" w:hAnsi="Verdana"/>
        </w:rPr>
        <w:t xml:space="preserve"> </w:t>
      </w:r>
    </w:p>
    <w:p w:rsidR="009D2300" w:rsidRDefault="009D2300" w:rsidP="0031599F">
      <w:pPr>
        <w:spacing w:after="0"/>
        <w:ind w:left="1170" w:right="1376"/>
        <w:rPr>
          <w:rFonts w:ascii="Verdana" w:hAnsi="Verdana"/>
          <w:b/>
          <w:i/>
        </w:rPr>
      </w:pPr>
    </w:p>
    <w:p w:rsidR="009D2300" w:rsidRDefault="009D2300" w:rsidP="0031599F">
      <w:pPr>
        <w:spacing w:after="0"/>
        <w:ind w:left="1170" w:right="1376"/>
        <w:rPr>
          <w:rFonts w:ascii="Verdana" w:hAnsi="Verdana"/>
          <w:b/>
          <w:i/>
        </w:rPr>
      </w:pPr>
    </w:p>
    <w:p w:rsidR="00B95606" w:rsidRPr="00303F4A" w:rsidRDefault="00B95606" w:rsidP="0031599F">
      <w:pPr>
        <w:spacing w:after="0"/>
        <w:ind w:left="1170" w:right="1376"/>
        <w:rPr>
          <w:rFonts w:ascii="Verdana" w:hAnsi="Verdana"/>
          <w:b/>
          <w:i/>
        </w:rPr>
      </w:pPr>
      <w:r w:rsidRPr="00303F4A">
        <w:rPr>
          <w:rFonts w:ascii="Verdana" w:hAnsi="Verdana"/>
          <w:b/>
          <w:i/>
        </w:rPr>
        <w:t>Employment Land Need</w:t>
      </w:r>
    </w:p>
    <w:p w:rsidR="009D2300" w:rsidRDefault="009D2300" w:rsidP="0031599F">
      <w:pPr>
        <w:spacing w:after="0"/>
        <w:ind w:left="1170" w:right="1376"/>
        <w:rPr>
          <w:rFonts w:ascii="Verdana" w:hAnsi="Verdana"/>
        </w:rPr>
      </w:pPr>
    </w:p>
    <w:p w:rsidR="00B95606" w:rsidRPr="00B95606" w:rsidRDefault="00B95606" w:rsidP="0031599F">
      <w:pPr>
        <w:spacing w:after="0"/>
        <w:ind w:left="1170" w:right="1376"/>
        <w:rPr>
          <w:rFonts w:ascii="Verdana" w:hAnsi="Verdana"/>
        </w:rPr>
      </w:pPr>
      <w:r w:rsidRPr="00B95606">
        <w:rPr>
          <w:rFonts w:ascii="Verdana" w:hAnsi="Verdana"/>
        </w:rPr>
        <w:t>We continue in our view that employment land need is overestimated especially when the additional land is allocated in a Special Landscape Area.  In particular we doubt whether anyone has weighed the need for increasing the land supply against the harm to the landscape.  Our belief is that one group (the HEDNA authors) has taken the view (in isolation) that it would, on balance, be beneficial to increase the employment land supply and another group (Harrogate Planners) has then taken this increased ‘requirement’ as an absolute.  In our view no-one has balanced the problematic additional requirement against the demonstrable environmental harm in providing it on site H18.</w:t>
      </w:r>
    </w:p>
    <w:p w:rsidR="009D2300" w:rsidRDefault="009D2300" w:rsidP="0031599F">
      <w:pPr>
        <w:spacing w:after="0"/>
        <w:ind w:left="1170" w:right="1376"/>
        <w:rPr>
          <w:rFonts w:ascii="Verdana" w:hAnsi="Verdana"/>
        </w:rPr>
      </w:pPr>
    </w:p>
    <w:p w:rsidR="00DE6680" w:rsidRDefault="007C65EA" w:rsidP="0031599F">
      <w:pPr>
        <w:spacing w:after="0"/>
        <w:ind w:left="1170" w:right="1376"/>
        <w:rPr>
          <w:rFonts w:ascii="Verdana" w:hAnsi="Verdana"/>
        </w:rPr>
      </w:pPr>
      <w:r>
        <w:rPr>
          <w:rFonts w:ascii="Verdana" w:hAnsi="Verdana"/>
        </w:rPr>
        <w:t xml:space="preserve">We </w:t>
      </w:r>
      <w:r w:rsidR="00303F4A">
        <w:rPr>
          <w:rFonts w:ascii="Verdana" w:hAnsi="Verdana"/>
        </w:rPr>
        <w:t>therefore advise that we spend</w:t>
      </w:r>
      <w:r w:rsidR="00B95606" w:rsidRPr="00B95606">
        <w:rPr>
          <w:rFonts w:ascii="Verdana" w:hAnsi="Verdana"/>
        </w:rPr>
        <w:t xml:space="preserve"> time re-visiting the employment land calculations in the HEDNA</w:t>
      </w:r>
      <w:r w:rsidR="00303F4A">
        <w:rPr>
          <w:rFonts w:ascii="Verdana" w:hAnsi="Verdana"/>
        </w:rPr>
        <w:t xml:space="preserve"> on behalf of the PC to inform this element of the representation.</w:t>
      </w:r>
    </w:p>
    <w:p w:rsidR="00DE6680" w:rsidRDefault="00DE6680" w:rsidP="0031599F">
      <w:pPr>
        <w:spacing w:after="0"/>
        <w:rPr>
          <w:rFonts w:ascii="Verdana" w:hAnsi="Verdana"/>
        </w:rPr>
      </w:pPr>
      <w:r>
        <w:rPr>
          <w:rFonts w:ascii="Verdana" w:hAnsi="Verdana"/>
        </w:rPr>
        <w:br w:type="page"/>
      </w:r>
    </w:p>
    <w:p w:rsidR="00B95606" w:rsidRPr="00B95606" w:rsidRDefault="00B95606" w:rsidP="0031599F">
      <w:pPr>
        <w:spacing w:after="0"/>
        <w:ind w:left="1170" w:right="1376"/>
        <w:rPr>
          <w:rFonts w:ascii="Verdana" w:hAnsi="Verdana"/>
        </w:rPr>
      </w:pPr>
    </w:p>
    <w:p w:rsidR="00303F4A" w:rsidRDefault="00303F4A" w:rsidP="0031599F">
      <w:pPr>
        <w:spacing w:after="0"/>
        <w:ind w:left="1170" w:right="1376"/>
        <w:rPr>
          <w:rFonts w:ascii="Verdana" w:hAnsi="Verdana"/>
          <w:b/>
        </w:rPr>
      </w:pPr>
      <w:r>
        <w:rPr>
          <w:rFonts w:ascii="Verdana" w:hAnsi="Verdana"/>
          <w:b/>
        </w:rPr>
        <w:t>Summary of Advice</w:t>
      </w:r>
    </w:p>
    <w:p w:rsidR="009D2300" w:rsidRDefault="009D2300" w:rsidP="0031599F">
      <w:pPr>
        <w:spacing w:after="0"/>
        <w:ind w:left="1170" w:right="1376"/>
        <w:rPr>
          <w:rFonts w:ascii="Verdana" w:hAnsi="Verdana"/>
        </w:rPr>
      </w:pPr>
    </w:p>
    <w:p w:rsidR="00287C80" w:rsidRDefault="00303F4A" w:rsidP="0031599F">
      <w:pPr>
        <w:spacing w:after="0"/>
        <w:ind w:left="1170" w:right="1376"/>
        <w:rPr>
          <w:rFonts w:ascii="Verdana" w:hAnsi="Verdana"/>
        </w:rPr>
      </w:pPr>
      <w:r w:rsidRPr="00303F4A">
        <w:rPr>
          <w:rFonts w:ascii="Verdana" w:hAnsi="Verdana"/>
        </w:rPr>
        <w:t>We therefore conclude that</w:t>
      </w:r>
      <w:r>
        <w:rPr>
          <w:rFonts w:ascii="Verdana" w:hAnsi="Verdana"/>
        </w:rPr>
        <w:t xml:space="preserve"> the following approach to the PC’s consultation response is adopted:</w:t>
      </w:r>
    </w:p>
    <w:p w:rsidR="009D2300" w:rsidRDefault="009D2300" w:rsidP="0031599F">
      <w:pPr>
        <w:spacing w:after="0"/>
        <w:ind w:left="1170" w:right="1376"/>
        <w:rPr>
          <w:rFonts w:ascii="Verdana" w:hAnsi="Verdana"/>
        </w:rPr>
      </w:pPr>
    </w:p>
    <w:p w:rsidR="00303F4A" w:rsidRDefault="00FA55CE" w:rsidP="0031599F">
      <w:pPr>
        <w:pStyle w:val="ListParagraph"/>
        <w:numPr>
          <w:ilvl w:val="0"/>
          <w:numId w:val="10"/>
        </w:numPr>
        <w:spacing w:after="0"/>
        <w:ind w:right="1376"/>
        <w:rPr>
          <w:rFonts w:ascii="Verdana" w:hAnsi="Verdana"/>
        </w:rPr>
      </w:pPr>
      <w:r>
        <w:rPr>
          <w:rFonts w:ascii="Verdana" w:hAnsi="Verdana"/>
        </w:rPr>
        <w:t>Pursue objections based on the conclusions of the Smeeden Foreman and BWB reports as supported by the Arrowsmith Associates full report.</w:t>
      </w:r>
    </w:p>
    <w:p w:rsidR="00FA55CE" w:rsidRDefault="00FA55CE" w:rsidP="0031599F">
      <w:pPr>
        <w:pStyle w:val="ListParagraph"/>
        <w:spacing w:after="0"/>
        <w:ind w:left="1965" w:right="1376"/>
        <w:rPr>
          <w:rFonts w:ascii="Verdana" w:hAnsi="Verdana"/>
        </w:rPr>
      </w:pPr>
    </w:p>
    <w:p w:rsidR="00FA55CE" w:rsidRDefault="00FA55CE" w:rsidP="0031599F">
      <w:pPr>
        <w:pStyle w:val="ListParagraph"/>
        <w:numPr>
          <w:ilvl w:val="0"/>
          <w:numId w:val="10"/>
        </w:numPr>
        <w:spacing w:after="0"/>
        <w:ind w:right="1376"/>
        <w:rPr>
          <w:rFonts w:ascii="Verdana" w:hAnsi="Verdana"/>
        </w:rPr>
      </w:pPr>
      <w:r>
        <w:rPr>
          <w:rFonts w:ascii="Verdana" w:hAnsi="Verdana"/>
        </w:rPr>
        <w:t>Do not commission input from any other professional specialists.</w:t>
      </w:r>
    </w:p>
    <w:p w:rsidR="00FA55CE" w:rsidRPr="00FA55CE" w:rsidRDefault="00FA55CE" w:rsidP="0031599F">
      <w:pPr>
        <w:pStyle w:val="ListParagraph"/>
        <w:spacing w:after="0"/>
        <w:rPr>
          <w:rFonts w:ascii="Verdana" w:hAnsi="Verdana"/>
        </w:rPr>
      </w:pPr>
    </w:p>
    <w:p w:rsidR="00FA55CE" w:rsidRDefault="00832A99" w:rsidP="0031599F">
      <w:pPr>
        <w:pStyle w:val="ListParagraph"/>
        <w:numPr>
          <w:ilvl w:val="0"/>
          <w:numId w:val="10"/>
        </w:numPr>
        <w:spacing w:after="0"/>
        <w:ind w:right="1376"/>
        <w:rPr>
          <w:rFonts w:ascii="Verdana" w:hAnsi="Verdana"/>
        </w:rPr>
      </w:pPr>
      <w:r w:rsidRPr="005C2F4D">
        <w:rPr>
          <w:rFonts w:ascii="Verdana" w:hAnsi="Verdana"/>
        </w:rPr>
        <w:t>Consider commissioning further work with a view to</w:t>
      </w:r>
      <w:r w:rsidR="00FA55CE" w:rsidRPr="005C2F4D">
        <w:rPr>
          <w:rFonts w:ascii="Verdana" w:hAnsi="Verdana"/>
        </w:rPr>
        <w:t xml:space="preserve"> challeng</w:t>
      </w:r>
      <w:r w:rsidRPr="005C2F4D">
        <w:rPr>
          <w:rFonts w:ascii="Verdana" w:hAnsi="Verdana"/>
        </w:rPr>
        <w:t>ing</w:t>
      </w:r>
      <w:r w:rsidR="00FA55CE" w:rsidRPr="005C2F4D">
        <w:rPr>
          <w:rFonts w:ascii="Verdana" w:hAnsi="Verdana"/>
        </w:rPr>
        <w:t xml:space="preserve"> the Plan’s calculated housing requirement if additional funding </w:t>
      </w:r>
      <w:r w:rsidR="00FA55CE">
        <w:rPr>
          <w:rFonts w:ascii="Verdana" w:hAnsi="Verdana"/>
        </w:rPr>
        <w:t>(in association with the west of Harrogate groups) is available.</w:t>
      </w:r>
    </w:p>
    <w:p w:rsidR="00FA55CE" w:rsidRPr="00FA55CE" w:rsidRDefault="00FA55CE" w:rsidP="0031599F">
      <w:pPr>
        <w:pStyle w:val="ListParagraph"/>
        <w:spacing w:after="0"/>
        <w:rPr>
          <w:rFonts w:ascii="Verdana" w:hAnsi="Verdana"/>
        </w:rPr>
      </w:pPr>
    </w:p>
    <w:p w:rsidR="00FA55CE" w:rsidRDefault="00FA55CE" w:rsidP="0031599F">
      <w:pPr>
        <w:pStyle w:val="ListParagraph"/>
        <w:numPr>
          <w:ilvl w:val="0"/>
          <w:numId w:val="10"/>
        </w:numPr>
        <w:spacing w:after="0"/>
        <w:ind w:right="1376"/>
        <w:rPr>
          <w:rFonts w:ascii="Verdana" w:hAnsi="Verdana"/>
        </w:rPr>
      </w:pPr>
      <w:r>
        <w:rPr>
          <w:rFonts w:ascii="Verdana" w:hAnsi="Verdana"/>
        </w:rPr>
        <w:t xml:space="preserve">Consider supporting a Green Belt review to the south of </w:t>
      </w:r>
      <w:proofErr w:type="spellStart"/>
      <w:r>
        <w:rPr>
          <w:rFonts w:ascii="Verdana" w:hAnsi="Verdana"/>
        </w:rPr>
        <w:t>Pannal</w:t>
      </w:r>
      <w:proofErr w:type="spellEnd"/>
      <w:r>
        <w:rPr>
          <w:rFonts w:ascii="Verdana" w:hAnsi="Verdana"/>
        </w:rPr>
        <w:t>.</w:t>
      </w:r>
    </w:p>
    <w:p w:rsidR="00FA55CE" w:rsidRPr="00FA55CE" w:rsidRDefault="00FA55CE" w:rsidP="0031599F">
      <w:pPr>
        <w:pStyle w:val="ListParagraph"/>
        <w:spacing w:after="0"/>
        <w:rPr>
          <w:rFonts w:ascii="Verdana" w:hAnsi="Verdana"/>
        </w:rPr>
      </w:pPr>
    </w:p>
    <w:p w:rsidR="00FA55CE" w:rsidRDefault="00FA55CE" w:rsidP="0031599F">
      <w:pPr>
        <w:pStyle w:val="ListParagraph"/>
        <w:numPr>
          <w:ilvl w:val="0"/>
          <w:numId w:val="10"/>
        </w:numPr>
        <w:spacing w:after="0"/>
        <w:ind w:right="1376"/>
        <w:rPr>
          <w:rFonts w:ascii="Verdana" w:hAnsi="Verdana"/>
        </w:rPr>
      </w:pPr>
      <w:r>
        <w:rPr>
          <w:rFonts w:ascii="Verdana" w:hAnsi="Verdana"/>
        </w:rPr>
        <w:t xml:space="preserve">Explore </w:t>
      </w:r>
      <w:r w:rsidRPr="00FA55CE">
        <w:rPr>
          <w:rFonts w:ascii="Verdana" w:hAnsi="Verdana"/>
        </w:rPr>
        <w:t>the employment land calculations in the HEDNA</w:t>
      </w:r>
      <w:r>
        <w:rPr>
          <w:rFonts w:ascii="Verdana" w:hAnsi="Verdana"/>
        </w:rPr>
        <w:t xml:space="preserve"> with a view to </w:t>
      </w:r>
      <w:r w:rsidR="00DE6680">
        <w:rPr>
          <w:rFonts w:ascii="Verdana" w:hAnsi="Verdana"/>
        </w:rPr>
        <w:t>demonstrating that the requirement is overestimated.</w:t>
      </w:r>
    </w:p>
    <w:p w:rsidR="00DE6680" w:rsidRPr="00DE6680" w:rsidRDefault="00DE6680" w:rsidP="0031599F">
      <w:pPr>
        <w:pStyle w:val="ListParagraph"/>
        <w:spacing w:after="0"/>
        <w:rPr>
          <w:rFonts w:ascii="Verdana" w:hAnsi="Verdana"/>
        </w:rPr>
      </w:pPr>
    </w:p>
    <w:p w:rsidR="00DE6680" w:rsidRPr="00303F4A" w:rsidRDefault="00DE6680" w:rsidP="0031599F">
      <w:pPr>
        <w:pStyle w:val="ListParagraph"/>
        <w:numPr>
          <w:ilvl w:val="0"/>
          <w:numId w:val="10"/>
        </w:numPr>
        <w:spacing w:after="0"/>
        <w:ind w:right="1376"/>
        <w:rPr>
          <w:rFonts w:ascii="Verdana" w:hAnsi="Verdana"/>
        </w:rPr>
      </w:pPr>
      <w:r>
        <w:rPr>
          <w:rFonts w:ascii="Verdana" w:hAnsi="Verdana"/>
        </w:rPr>
        <w:t>Pursue any other issues the PC wish to address without professional support.</w:t>
      </w:r>
    </w:p>
    <w:p w:rsidR="00303F4A" w:rsidRPr="00303F4A" w:rsidRDefault="00303F4A" w:rsidP="0031599F">
      <w:pPr>
        <w:spacing w:after="0"/>
        <w:ind w:left="1170" w:right="1376"/>
        <w:rPr>
          <w:rFonts w:ascii="Verdana" w:hAnsi="Verdana"/>
        </w:rPr>
      </w:pPr>
    </w:p>
    <w:p w:rsidR="00287C80" w:rsidRDefault="00287C80" w:rsidP="0031599F">
      <w:pPr>
        <w:spacing w:after="0"/>
        <w:ind w:left="2160" w:right="1466" w:hanging="990"/>
        <w:rPr>
          <w:rFonts w:ascii="Verdana" w:hAnsi="Verdana"/>
          <w:b/>
        </w:rPr>
      </w:pPr>
      <w:r>
        <w:rPr>
          <w:rFonts w:ascii="Verdana" w:hAnsi="Verdana"/>
          <w:b/>
        </w:rPr>
        <w:t>Arrowsmith Associates</w:t>
      </w:r>
    </w:p>
    <w:p w:rsidR="00287C80" w:rsidRPr="00287C80" w:rsidRDefault="007C65EA" w:rsidP="0031599F">
      <w:pPr>
        <w:spacing w:after="0"/>
        <w:ind w:left="2160" w:right="1466" w:hanging="990"/>
        <w:rPr>
          <w:rFonts w:ascii="Verdana" w:hAnsi="Verdana"/>
          <w:b/>
        </w:rPr>
      </w:pPr>
      <w:r>
        <w:rPr>
          <w:rFonts w:ascii="Verdana" w:hAnsi="Verdana"/>
          <w:b/>
        </w:rPr>
        <w:t>February 2018</w:t>
      </w:r>
    </w:p>
    <w:sectPr w:rsidR="00287C80" w:rsidRPr="00287C80" w:rsidSect="00081CE5">
      <w:headerReference w:type="default" r:id="rId10"/>
      <w:footerReference w:type="default" r:id="rId11"/>
      <w:headerReference w:type="first" r:id="rId12"/>
      <w:footerReference w:type="first" r:id="rId13"/>
      <w:pgSz w:w="11906" w:h="16838"/>
      <w:pgMar w:top="678" w:right="0" w:bottom="1440" w:left="0" w:header="142"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40" w:rsidRDefault="00432740" w:rsidP="001D5834">
      <w:pPr>
        <w:spacing w:after="0" w:line="240" w:lineRule="auto"/>
      </w:pPr>
      <w:r>
        <w:separator/>
      </w:r>
    </w:p>
  </w:endnote>
  <w:endnote w:type="continuationSeparator" w:id="0">
    <w:p w:rsidR="00432740" w:rsidRDefault="00432740" w:rsidP="001D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C5" w:rsidRDefault="00F248C5">
    <w:pPr>
      <w:pStyle w:val="Footer"/>
    </w:pPr>
    <w:r>
      <w:rPr>
        <w:noProof/>
        <w:lang w:eastAsia="en-GB"/>
      </w:rPr>
      <w:drawing>
        <wp:inline distT="0" distB="0" distL="0" distR="0" wp14:anchorId="177E3C76" wp14:editId="60E23D8D">
          <wp:extent cx="75533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00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C5" w:rsidRDefault="00F248C5">
    <w:pPr>
      <w:pStyle w:val="Footer"/>
    </w:pPr>
    <w:r>
      <w:rPr>
        <w:noProof/>
        <w:lang w:eastAsia="en-GB"/>
      </w:rPr>
      <w:drawing>
        <wp:inline distT="0" distB="0" distL="0" distR="0" wp14:anchorId="5ED87C7B" wp14:editId="322C5473">
          <wp:extent cx="7304405" cy="11588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405" cy="1158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40" w:rsidRDefault="00432740" w:rsidP="001D5834">
      <w:pPr>
        <w:spacing w:after="0" w:line="240" w:lineRule="auto"/>
      </w:pPr>
      <w:r>
        <w:separator/>
      </w:r>
    </w:p>
  </w:footnote>
  <w:footnote w:type="continuationSeparator" w:id="0">
    <w:p w:rsidR="00432740" w:rsidRDefault="00432740" w:rsidP="001D5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C5" w:rsidRDefault="00F248C5" w:rsidP="005C4546">
    <w:pPr>
      <w:pStyle w:val="Header"/>
    </w:pPr>
  </w:p>
  <w:p w:rsidR="00F248C5" w:rsidRDefault="00F24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C5" w:rsidRDefault="00F248C5" w:rsidP="00A66072">
    <w:pPr>
      <w:pStyle w:val="Header"/>
      <w:tabs>
        <w:tab w:val="left" w:pos="2227"/>
      </w:tabs>
    </w:pPr>
    <w:r>
      <w:tab/>
    </w:r>
    <w:r>
      <w:rPr>
        <w:noProof/>
        <w:lang w:eastAsia="en-GB"/>
      </w:rPr>
      <w:drawing>
        <wp:inline distT="0" distB="0" distL="0" distR="0" wp14:anchorId="62603D63" wp14:editId="211FDFC6">
          <wp:extent cx="7134225" cy="563245"/>
          <wp:effectExtent l="0" t="0" r="952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56324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110"/>
    <w:multiLevelType w:val="hybridMultilevel"/>
    <w:tmpl w:val="39E43A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0A1D305F"/>
    <w:multiLevelType w:val="hybridMultilevel"/>
    <w:tmpl w:val="5580641C"/>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
    <w:nsid w:val="272918ED"/>
    <w:multiLevelType w:val="hybridMultilevel"/>
    <w:tmpl w:val="E27AF82A"/>
    <w:lvl w:ilvl="0" w:tplc="08090005">
      <w:start w:val="1"/>
      <w:numFmt w:val="bullet"/>
      <w:lvlText w:val=""/>
      <w:lvlJc w:val="left"/>
      <w:pPr>
        <w:ind w:left="1890" w:hanging="360"/>
      </w:pPr>
      <w:rPr>
        <w:rFonts w:ascii="Wingdings" w:hAnsi="Wingdings"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3">
    <w:nsid w:val="275D4B7A"/>
    <w:multiLevelType w:val="hybridMultilevel"/>
    <w:tmpl w:val="612C739A"/>
    <w:lvl w:ilvl="0" w:tplc="08090005">
      <w:start w:val="1"/>
      <w:numFmt w:val="bullet"/>
      <w:lvlText w:val=""/>
      <w:lvlJc w:val="left"/>
      <w:pPr>
        <w:ind w:left="1965" w:hanging="360"/>
      </w:pPr>
      <w:rPr>
        <w:rFonts w:ascii="Wingdings" w:hAnsi="Wingdings"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4">
    <w:nsid w:val="306D7D97"/>
    <w:multiLevelType w:val="hybridMultilevel"/>
    <w:tmpl w:val="80D878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332A18A3"/>
    <w:multiLevelType w:val="hybridMultilevel"/>
    <w:tmpl w:val="49549218"/>
    <w:lvl w:ilvl="0" w:tplc="08090013">
      <w:start w:val="1"/>
      <w:numFmt w:val="upperRoman"/>
      <w:lvlText w:val="%1."/>
      <w:lvlJc w:val="righ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6">
    <w:nsid w:val="45D707BA"/>
    <w:multiLevelType w:val="hybridMultilevel"/>
    <w:tmpl w:val="96A25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FF0B4A"/>
    <w:multiLevelType w:val="multilevel"/>
    <w:tmpl w:val="917A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E197A"/>
    <w:multiLevelType w:val="hybridMultilevel"/>
    <w:tmpl w:val="B8CA9ABA"/>
    <w:lvl w:ilvl="0" w:tplc="7A5240C2">
      <w:start w:val="1"/>
      <w:numFmt w:val="decimal"/>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9">
    <w:nsid w:val="5E6930C9"/>
    <w:multiLevelType w:val="multilevel"/>
    <w:tmpl w:val="7432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8F132A"/>
    <w:multiLevelType w:val="multilevel"/>
    <w:tmpl w:val="B7FE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3B583E"/>
    <w:multiLevelType w:val="hybridMultilevel"/>
    <w:tmpl w:val="5BCE5D86"/>
    <w:lvl w:ilvl="0" w:tplc="08090005">
      <w:start w:val="1"/>
      <w:numFmt w:val="bullet"/>
      <w:lvlText w:val=""/>
      <w:lvlJc w:val="left"/>
      <w:pPr>
        <w:ind w:left="1890" w:hanging="360"/>
      </w:pPr>
      <w:rPr>
        <w:rFonts w:ascii="Wingdings" w:hAnsi="Wingdings"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7"/>
  </w:num>
  <w:num w:numId="7">
    <w:abstractNumId w:val="9"/>
  </w:num>
  <w:num w:numId="8">
    <w:abstractNumId w:val="10"/>
  </w:num>
  <w:num w:numId="9">
    <w:abstractNumId w:val="8"/>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34"/>
    <w:rsid w:val="0003065B"/>
    <w:rsid w:val="00056FB4"/>
    <w:rsid w:val="00081CE5"/>
    <w:rsid w:val="000C47AF"/>
    <w:rsid w:val="000D1C50"/>
    <w:rsid w:val="001064F2"/>
    <w:rsid w:val="001332B1"/>
    <w:rsid w:val="001435D9"/>
    <w:rsid w:val="00176FE9"/>
    <w:rsid w:val="001D1D7E"/>
    <w:rsid w:val="001D5834"/>
    <w:rsid w:val="002504FC"/>
    <w:rsid w:val="00287C80"/>
    <w:rsid w:val="00294274"/>
    <w:rsid w:val="002E0667"/>
    <w:rsid w:val="002F44DD"/>
    <w:rsid w:val="00303F4A"/>
    <w:rsid w:val="0031599F"/>
    <w:rsid w:val="0034289E"/>
    <w:rsid w:val="00351A0A"/>
    <w:rsid w:val="003550FD"/>
    <w:rsid w:val="003B148E"/>
    <w:rsid w:val="003D0416"/>
    <w:rsid w:val="003E3511"/>
    <w:rsid w:val="00432740"/>
    <w:rsid w:val="00451FDF"/>
    <w:rsid w:val="00454E19"/>
    <w:rsid w:val="00462B6E"/>
    <w:rsid w:val="004D48A4"/>
    <w:rsid w:val="005A1ED8"/>
    <w:rsid w:val="005B1633"/>
    <w:rsid w:val="005C2F4D"/>
    <w:rsid w:val="005C3857"/>
    <w:rsid w:val="005C4546"/>
    <w:rsid w:val="005E3E81"/>
    <w:rsid w:val="005F2E03"/>
    <w:rsid w:val="006138F9"/>
    <w:rsid w:val="00623A15"/>
    <w:rsid w:val="006A0E99"/>
    <w:rsid w:val="007025E1"/>
    <w:rsid w:val="00711F71"/>
    <w:rsid w:val="007462C5"/>
    <w:rsid w:val="00771BB7"/>
    <w:rsid w:val="00774191"/>
    <w:rsid w:val="007C4CB0"/>
    <w:rsid w:val="007C65EA"/>
    <w:rsid w:val="00832A99"/>
    <w:rsid w:val="00841F6B"/>
    <w:rsid w:val="0089355F"/>
    <w:rsid w:val="00894CFE"/>
    <w:rsid w:val="00910DAF"/>
    <w:rsid w:val="00935AD9"/>
    <w:rsid w:val="00947F9D"/>
    <w:rsid w:val="009713E5"/>
    <w:rsid w:val="009A690D"/>
    <w:rsid w:val="009B2AC7"/>
    <w:rsid w:val="009D2300"/>
    <w:rsid w:val="00A5693B"/>
    <w:rsid w:val="00A66072"/>
    <w:rsid w:val="00AD534D"/>
    <w:rsid w:val="00AF005B"/>
    <w:rsid w:val="00B60DCD"/>
    <w:rsid w:val="00B7291C"/>
    <w:rsid w:val="00B95606"/>
    <w:rsid w:val="00BC7F95"/>
    <w:rsid w:val="00C007C5"/>
    <w:rsid w:val="00C11319"/>
    <w:rsid w:val="00C36C01"/>
    <w:rsid w:val="00C43757"/>
    <w:rsid w:val="00CB1931"/>
    <w:rsid w:val="00CD2850"/>
    <w:rsid w:val="00D01257"/>
    <w:rsid w:val="00D142C7"/>
    <w:rsid w:val="00D4720A"/>
    <w:rsid w:val="00D62016"/>
    <w:rsid w:val="00D826EF"/>
    <w:rsid w:val="00DA5484"/>
    <w:rsid w:val="00DE6680"/>
    <w:rsid w:val="00E0182D"/>
    <w:rsid w:val="00E06F5D"/>
    <w:rsid w:val="00E1246E"/>
    <w:rsid w:val="00E176F5"/>
    <w:rsid w:val="00E932EB"/>
    <w:rsid w:val="00EA2774"/>
    <w:rsid w:val="00F248C5"/>
    <w:rsid w:val="00F34B1B"/>
    <w:rsid w:val="00F44F56"/>
    <w:rsid w:val="00F514D7"/>
    <w:rsid w:val="00F529C3"/>
    <w:rsid w:val="00F55B5E"/>
    <w:rsid w:val="00F83CB9"/>
    <w:rsid w:val="00FA55CE"/>
    <w:rsid w:val="00FD145C"/>
    <w:rsid w:val="00FE07F7"/>
    <w:rsid w:val="00FE3E30"/>
    <w:rsid w:val="00FE5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834"/>
  </w:style>
  <w:style w:type="paragraph" w:styleId="Footer">
    <w:name w:val="footer"/>
    <w:basedOn w:val="Normal"/>
    <w:link w:val="FooterChar"/>
    <w:uiPriority w:val="99"/>
    <w:unhideWhenUsed/>
    <w:rsid w:val="001D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834"/>
  </w:style>
  <w:style w:type="paragraph" w:styleId="BalloonText">
    <w:name w:val="Balloon Text"/>
    <w:basedOn w:val="Normal"/>
    <w:link w:val="BalloonTextChar"/>
    <w:uiPriority w:val="99"/>
    <w:semiHidden/>
    <w:unhideWhenUsed/>
    <w:rsid w:val="001D5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834"/>
    <w:rPr>
      <w:rFonts w:ascii="Tahoma" w:hAnsi="Tahoma" w:cs="Tahoma"/>
      <w:sz w:val="16"/>
      <w:szCs w:val="16"/>
    </w:rPr>
  </w:style>
  <w:style w:type="paragraph" w:styleId="ListParagraph">
    <w:name w:val="List Paragraph"/>
    <w:basedOn w:val="Normal"/>
    <w:uiPriority w:val="34"/>
    <w:qFormat/>
    <w:rsid w:val="006138F9"/>
    <w:pPr>
      <w:ind w:left="720"/>
      <w:contextualSpacing/>
    </w:pPr>
  </w:style>
  <w:style w:type="character" w:styleId="Hyperlink">
    <w:name w:val="Hyperlink"/>
    <w:basedOn w:val="DefaultParagraphFont"/>
    <w:uiPriority w:val="99"/>
    <w:unhideWhenUsed/>
    <w:rsid w:val="00F529C3"/>
    <w:rPr>
      <w:color w:val="0000FF" w:themeColor="hyperlink"/>
      <w:u w:val="single"/>
    </w:rPr>
  </w:style>
  <w:style w:type="character" w:styleId="FollowedHyperlink">
    <w:name w:val="FollowedHyperlink"/>
    <w:basedOn w:val="DefaultParagraphFont"/>
    <w:uiPriority w:val="99"/>
    <w:semiHidden/>
    <w:unhideWhenUsed/>
    <w:rsid w:val="00BC7F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834"/>
  </w:style>
  <w:style w:type="paragraph" w:styleId="Footer">
    <w:name w:val="footer"/>
    <w:basedOn w:val="Normal"/>
    <w:link w:val="FooterChar"/>
    <w:uiPriority w:val="99"/>
    <w:unhideWhenUsed/>
    <w:rsid w:val="001D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834"/>
  </w:style>
  <w:style w:type="paragraph" w:styleId="BalloonText">
    <w:name w:val="Balloon Text"/>
    <w:basedOn w:val="Normal"/>
    <w:link w:val="BalloonTextChar"/>
    <w:uiPriority w:val="99"/>
    <w:semiHidden/>
    <w:unhideWhenUsed/>
    <w:rsid w:val="001D5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834"/>
    <w:rPr>
      <w:rFonts w:ascii="Tahoma" w:hAnsi="Tahoma" w:cs="Tahoma"/>
      <w:sz w:val="16"/>
      <w:szCs w:val="16"/>
    </w:rPr>
  </w:style>
  <w:style w:type="paragraph" w:styleId="ListParagraph">
    <w:name w:val="List Paragraph"/>
    <w:basedOn w:val="Normal"/>
    <w:uiPriority w:val="34"/>
    <w:qFormat/>
    <w:rsid w:val="006138F9"/>
    <w:pPr>
      <w:ind w:left="720"/>
      <w:contextualSpacing/>
    </w:pPr>
  </w:style>
  <w:style w:type="character" w:styleId="Hyperlink">
    <w:name w:val="Hyperlink"/>
    <w:basedOn w:val="DefaultParagraphFont"/>
    <w:uiPriority w:val="99"/>
    <w:unhideWhenUsed/>
    <w:rsid w:val="00F529C3"/>
    <w:rPr>
      <w:color w:val="0000FF" w:themeColor="hyperlink"/>
      <w:u w:val="single"/>
    </w:rPr>
  </w:style>
  <w:style w:type="character" w:styleId="FollowedHyperlink">
    <w:name w:val="FollowedHyperlink"/>
    <w:basedOn w:val="DefaultParagraphFont"/>
    <w:uiPriority w:val="99"/>
    <w:semiHidden/>
    <w:unhideWhenUsed/>
    <w:rsid w:val="00BC7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4526">
      <w:bodyDiv w:val="1"/>
      <w:marLeft w:val="0"/>
      <w:marRight w:val="0"/>
      <w:marTop w:val="0"/>
      <w:marBottom w:val="0"/>
      <w:divBdr>
        <w:top w:val="none" w:sz="0" w:space="0" w:color="auto"/>
        <w:left w:val="none" w:sz="0" w:space="0" w:color="auto"/>
        <w:bottom w:val="none" w:sz="0" w:space="0" w:color="auto"/>
        <w:right w:val="none" w:sz="0" w:space="0" w:color="auto"/>
      </w:divBdr>
    </w:div>
    <w:div w:id="1534806940">
      <w:bodyDiv w:val="1"/>
      <w:marLeft w:val="0"/>
      <w:marRight w:val="0"/>
      <w:marTop w:val="0"/>
      <w:marBottom w:val="0"/>
      <w:divBdr>
        <w:top w:val="none" w:sz="0" w:space="0" w:color="auto"/>
        <w:left w:val="none" w:sz="0" w:space="0" w:color="auto"/>
        <w:bottom w:val="none" w:sz="0" w:space="0" w:color="auto"/>
        <w:right w:val="none" w:sz="0" w:space="0" w:color="auto"/>
      </w:divBdr>
    </w:div>
    <w:div w:id="17146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rrogate.gov.uk/downloads/file/3186/2018_january_housing_background_pap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cp:lastPrinted>2017-08-15T16:29:00Z</cp:lastPrinted>
  <dcterms:created xsi:type="dcterms:W3CDTF">2018-02-09T13:30:00Z</dcterms:created>
  <dcterms:modified xsi:type="dcterms:W3CDTF">2018-02-09T16:46:00Z</dcterms:modified>
</cp:coreProperties>
</file>